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67" w:rsidRPr="00490E00" w:rsidRDefault="00997513">
      <w:pPr>
        <w:tabs>
          <w:tab w:val="center" w:pos="4419"/>
        </w:tabs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490E0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490E00" w:rsidRPr="00490E0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CHECK</w:t>
      </w:r>
      <w:r w:rsidRPr="00490E0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LIST</w:t>
      </w:r>
    </w:p>
    <w:p w:rsidR="00892567" w:rsidRPr="00490E00" w:rsidRDefault="00892567">
      <w:pPr>
        <w:spacing w:after="0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93599" w:rsidRDefault="00997513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  <w:r w:rsidRPr="00490E0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 xml:space="preserve">Prestação de Contas de </w:t>
      </w:r>
    </w:p>
    <w:p w:rsidR="00892567" w:rsidRPr="00490E00" w:rsidRDefault="00997513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  <w:r w:rsidRPr="00490E0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>Convênio concedido a Município</w:t>
      </w:r>
    </w:p>
    <w:p w:rsidR="00892567" w:rsidRDefault="00892567">
      <w:pPr>
        <w:spacing w:after="0"/>
        <w:ind w:right="-1"/>
        <w:jc w:val="both"/>
        <w:rPr>
          <w:rFonts w:eastAsia="Times New Roman" w:cs="Arial"/>
          <w:sz w:val="18"/>
          <w:szCs w:val="18"/>
          <w:lang w:eastAsia="pt-BR"/>
        </w:rPr>
      </w:pPr>
    </w:p>
    <w:p w:rsidR="00892567" w:rsidRPr="00490E00" w:rsidRDefault="00997513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490E00">
        <w:rPr>
          <w:rFonts w:ascii="Times New Roman" w:eastAsia="Times New Roman" w:hAnsi="Times New Roman" w:cs="Times New Roman"/>
          <w:sz w:val="18"/>
          <w:szCs w:val="18"/>
          <w:lang w:eastAsia="pt-BR"/>
        </w:rPr>
        <w:t>Concedente: _________________________________________________________________________________________</w:t>
      </w:r>
    </w:p>
    <w:p w:rsidR="00892567" w:rsidRPr="00490E00" w:rsidRDefault="00997513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490E00">
        <w:rPr>
          <w:rFonts w:ascii="Times New Roman" w:eastAsia="Times New Roman" w:hAnsi="Times New Roman" w:cs="Times New Roman"/>
          <w:sz w:val="18"/>
          <w:szCs w:val="18"/>
          <w:lang w:eastAsia="pt-BR"/>
        </w:rPr>
        <w:t>Convenente: _________________________________________________________________________________________</w:t>
      </w:r>
    </w:p>
    <w:p w:rsidR="00892567" w:rsidRPr="00490E00" w:rsidRDefault="00997513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490E00">
        <w:rPr>
          <w:rFonts w:ascii="Times New Roman" w:eastAsia="Times New Roman" w:hAnsi="Times New Roman" w:cs="Times New Roman"/>
          <w:sz w:val="18"/>
          <w:szCs w:val="18"/>
          <w:lang w:eastAsia="pt-BR"/>
        </w:rPr>
        <w:t>Número do Convênio: _____________________________________ Processo nº: _________________________________</w:t>
      </w:r>
    </w:p>
    <w:p w:rsidR="00892567" w:rsidRPr="00490E00" w:rsidRDefault="00997513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490E00">
        <w:rPr>
          <w:rFonts w:ascii="Times New Roman" w:eastAsia="Times New Roman" w:hAnsi="Times New Roman" w:cs="Times New Roman"/>
          <w:sz w:val="18"/>
          <w:szCs w:val="18"/>
          <w:lang w:eastAsia="pt-BR"/>
        </w:rPr>
        <w:t>Data da Concessão: ________________________________ Data da Prestação de Contas: ___________________________</w:t>
      </w:r>
    </w:p>
    <w:p w:rsidR="00892567" w:rsidRPr="00490E00" w:rsidRDefault="00997513">
      <w:pPr>
        <w:spacing w:beforeAutospacing="1" w:afterAutospacing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90E00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Prestação de Contas Financeira</w:t>
      </w:r>
      <w:r w:rsidRPr="00490E00">
        <w:rPr>
          <w:rFonts w:ascii="Times New Roman" w:hAnsi="Times New Roman" w:cs="Times New Roman"/>
          <w:color w:val="000000"/>
          <w:sz w:val="18"/>
          <w:szCs w:val="18"/>
        </w:rPr>
        <w:t xml:space="preserve">: procedimento de acompanhamento sistemático da conformidade financeira, </w:t>
      </w:r>
      <w:proofErr w:type="gramStart"/>
      <w:r w:rsidRPr="00490E00">
        <w:rPr>
          <w:rFonts w:ascii="Times New Roman" w:hAnsi="Times New Roman" w:cs="Times New Roman"/>
          <w:color w:val="000000"/>
          <w:sz w:val="18"/>
          <w:szCs w:val="18"/>
        </w:rPr>
        <w:t>considerando</w:t>
      </w:r>
      <w:proofErr w:type="gramEnd"/>
      <w:r w:rsidRPr="00490E0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490E00">
        <w:rPr>
          <w:rFonts w:ascii="Times New Roman" w:hAnsi="Times New Roman" w:cs="Times New Roman"/>
          <w:color w:val="000000"/>
          <w:sz w:val="18"/>
          <w:szCs w:val="18"/>
        </w:rPr>
        <w:t>o</w:t>
      </w:r>
      <w:proofErr w:type="gramEnd"/>
      <w:r w:rsidRPr="00490E00">
        <w:rPr>
          <w:rFonts w:ascii="Times New Roman" w:hAnsi="Times New Roman" w:cs="Times New Roman"/>
          <w:color w:val="000000"/>
          <w:sz w:val="18"/>
          <w:szCs w:val="18"/>
        </w:rPr>
        <w:t xml:space="preserve"> início e o fim da vigência dos convênios previstos no Decreto Federal nº 6.170/07, Portaria Interministerial 424/16 e o Decreto Estadual nº 5.815/18.</w:t>
      </w:r>
    </w:p>
    <w:p w:rsidR="00892567" w:rsidRPr="00490E00" w:rsidRDefault="00997513" w:rsidP="00343B3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90E00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Prestação de Contas Técnica</w:t>
      </w:r>
      <w:r w:rsidRPr="00490E00">
        <w:rPr>
          <w:rFonts w:ascii="Times New Roman" w:hAnsi="Times New Roman" w:cs="Times New Roman"/>
          <w:color w:val="000000"/>
          <w:sz w:val="18"/>
          <w:szCs w:val="18"/>
        </w:rPr>
        <w:t>: procedimento de análise dos elementos que comprovam, sob os aspectos técnicos, a execução integral do objeto e o alcance dos resultados previstos nos convênios previstos no Decreto Federal nº 6.170/07, Portaria Interministerial 424/16 e o Decreto Estadual nº 5.815/18.</w:t>
      </w:r>
    </w:p>
    <w:p w:rsidR="00892567" w:rsidRPr="00490E00" w:rsidRDefault="00997513">
      <w:pPr>
        <w:spacing w:after="0"/>
        <w:ind w:right="-1"/>
        <w:rPr>
          <w:rFonts w:ascii="Times New Roman" w:eastAsia="Arial" w:hAnsi="Times New Roman" w:cs="Times New Roman"/>
          <w:b/>
          <w:sz w:val="18"/>
          <w:szCs w:val="18"/>
        </w:rPr>
      </w:pPr>
      <w:r w:rsidRPr="00490E00">
        <w:rPr>
          <w:rFonts w:ascii="Times New Roman" w:eastAsia="Arial" w:hAnsi="Times New Roman" w:cs="Times New Roman"/>
          <w:b/>
          <w:sz w:val="18"/>
          <w:szCs w:val="18"/>
        </w:rPr>
        <w:t>Legenda: S = Sim; N = Não; NA = Não se Aplica.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47"/>
        <w:gridCol w:w="1631"/>
        <w:gridCol w:w="702"/>
        <w:gridCol w:w="834"/>
      </w:tblGrid>
      <w:tr w:rsidR="00892567" w:rsidRPr="00490E00" w:rsidTr="00804D15"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892567" w:rsidRPr="00490E00" w:rsidRDefault="00997513">
            <w:pPr>
              <w:spacing w:after="0" w:line="240" w:lineRule="auto"/>
              <w:ind w:left="5" w:right="14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Exigência para Formalização de Procedimentos para Prestação de Contas de Convênio com município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892567" w:rsidRPr="00490E00" w:rsidRDefault="00997513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Responsável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892567" w:rsidRPr="00490E00" w:rsidRDefault="00997513">
            <w:pPr>
              <w:spacing w:after="0" w:line="240" w:lineRule="auto"/>
              <w:ind w:left="-146" w:right="-32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S/N/NA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892567" w:rsidRPr="00490E00" w:rsidRDefault="00997513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Folha</w:t>
            </w: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 w:rsidP="008138B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54" w:right="1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Os documentos da prestação de contas foram preferencialmente, por meio eletrônico nos moldes do processo de formalização do convênio – PAE, juntamente registrada no Sistema de Acompanhamento de Convênios e parcerias, no </w:t>
            </w:r>
            <w:r w:rsidR="008138BB"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endereço</w:t>
            </w:r>
            <w:r w:rsidR="008138BB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hyperlink r:id="rId8" w:history="1">
              <w:r w:rsidR="008138BB" w:rsidRPr="008138BB">
                <w:rPr>
                  <w:rStyle w:val="Hyperlink"/>
                  <w:rFonts w:ascii="Times New Roman" w:eastAsia="Arial" w:hAnsi="Times New Roman" w:cs="Times New Roman"/>
                  <w:color w:val="4F81BD" w:themeColor="accent1"/>
                  <w:sz w:val="18"/>
                  <w:szCs w:val="18"/>
                </w:rPr>
                <w:t>http://www.gestao.cge.to.gov.br/convenios/apl_Login/</w:t>
              </w:r>
            </w:hyperlink>
            <w:r w:rsidR="008138BB">
              <w:t>?</w:t>
            </w:r>
            <w:r w:rsidR="008138BB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(</w:t>
            </w:r>
            <w:r w:rsidR="00C93599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="008138BB">
              <w:rPr>
                <w:rFonts w:ascii="Times New Roman" w:eastAsia="Arial" w:hAnsi="Times New Roman" w:cs="Times New Roman"/>
                <w:sz w:val="18"/>
                <w:szCs w:val="18"/>
              </w:rPr>
              <w:t>rt. 39, paragrafo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único, art. 41, § 7º e art. 47 do Decreto Estadual nº 5.815/18)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54" w:right="148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</w:pP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Consta </w:t>
            </w: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</w:rPr>
              <w:t>ofício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encaminhando a Prestação de Contas ao Órgão Concedente? 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>(</w:t>
            </w:r>
            <w:r w:rsidR="00C93599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>a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 xml:space="preserve">rt. 2º, § 1º da IN TCE/TO nº 04/2004; </w:t>
            </w:r>
            <w:r w:rsidR="00C93599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>a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 xml:space="preserve">rt. 40, §3º, inc. I do 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Decreto Estadual 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>nº 5.815/18)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54" w:right="148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pt-BR"/>
              </w:rPr>
            </w:pPr>
            <w:r w:rsidRPr="00490E00">
              <w:rPr>
                <w:rFonts w:ascii="Times New Roman" w:hAnsi="Times New Roman" w:cs="Times New Roman"/>
                <w:sz w:val="18"/>
                <w:szCs w:val="18"/>
              </w:rPr>
              <w:t>A prestação de Contas final foi apresentada no prazo</w:t>
            </w:r>
            <w:r w:rsidRPr="00490E00"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1"/>
            </w:r>
            <w:r w:rsidRPr="00490E00">
              <w:rPr>
                <w:rFonts w:ascii="Times New Roman" w:hAnsi="Times New Roman" w:cs="Times New Roman"/>
                <w:sz w:val="18"/>
                <w:szCs w:val="18"/>
              </w:rPr>
              <w:t xml:space="preserve"> estabelecido, respeitando o prazo de até 30 (trinta) dias após o encerramento da vigência ou a conclusão da execução do objeto, o que ocorrer primeiro, e poderá ser prorrogado por igual período, com a devida justificativa? (</w:t>
            </w:r>
            <w:r w:rsidR="00C9359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90E00">
              <w:rPr>
                <w:rFonts w:ascii="Times New Roman" w:hAnsi="Times New Roman" w:cs="Times New Roman"/>
                <w:sz w:val="18"/>
                <w:szCs w:val="18"/>
              </w:rPr>
              <w:t xml:space="preserve">rt. 40, § 5º 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do Decreto Estadual nº 5.815/18; art. 59, inc. III da PI nº 424/16)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54" w:right="148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E00">
              <w:rPr>
                <w:rFonts w:ascii="Times New Roman" w:hAnsi="Times New Roman" w:cs="Times New Roman"/>
                <w:sz w:val="18"/>
                <w:szCs w:val="18"/>
              </w:rPr>
              <w:t>No caso de repasse em 3(três) ou mais parcelas financeiras, o convenente apresentou a prestação de contas parcial da</w:t>
            </w:r>
            <w:r w:rsidR="008138BB">
              <w:rPr>
                <w:rFonts w:ascii="Times New Roman" w:hAnsi="Times New Roman" w:cs="Times New Roman"/>
                <w:sz w:val="18"/>
                <w:szCs w:val="18"/>
              </w:rPr>
              <w:t xml:space="preserve"> 1º parcela, conforme art. 18, paragrafo </w:t>
            </w:r>
            <w:r w:rsidRPr="00490E00">
              <w:rPr>
                <w:rFonts w:ascii="Times New Roman" w:hAnsi="Times New Roman" w:cs="Times New Roman"/>
                <w:sz w:val="18"/>
                <w:szCs w:val="18"/>
              </w:rPr>
              <w:t>único da IN TCE/TO nº 004/04? E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em caso de descumprimento, foi oficializado, fixando prazo para o cumprimento da obrigação?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204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54" w:right="148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Consta </w:t>
            </w: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</w:rPr>
              <w:t>Relatório de Cumprimento do Objeto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o qual deverá conter a descrição pormenorizada das </w:t>
            </w:r>
            <w:r w:rsidRPr="00490E00">
              <w:rPr>
                <w:rFonts w:ascii="Times New Roman" w:hAnsi="Times New Roman" w:cs="Times New Roman"/>
                <w:sz w:val="18"/>
                <w:szCs w:val="18"/>
              </w:rPr>
              <w:t>atividades ou projetos desenvolvidos para o cumprimento do objeto e o comparativo de metas propostas com os resultados alcançados,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dando subsídios necessários para avaliação e manifestação do gestor quanto à efetiva conclusão do objeto pactuado? (</w:t>
            </w:r>
            <w:r w:rsidR="00C93599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rt. 40, §3º, inc. II do Decreto Estadual nº 5.815/18; art. 4º, inc. II da IN TCE/TO nº 004/04)</w:t>
            </w:r>
            <w:r w:rsidRPr="00490E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54" w:right="148" w:hanging="283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Em caso de ter havido contrapartida financeira pactuada no Plano de Trabalho, foi comprovado o cumprimento da mesma? (</w:t>
            </w:r>
            <w:r w:rsidR="00C93599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490E00">
              <w:rPr>
                <w:rFonts w:ascii="Times New Roman" w:hAnsi="Times New Roman" w:cs="Times New Roman"/>
                <w:sz w:val="18"/>
                <w:szCs w:val="18"/>
              </w:rPr>
              <w:t xml:space="preserve">rt. 7º e § 1º 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Decreto Federal nº 6.170/07; art. 9º, §4º do Decreto Estadual nº</w:t>
            </w:r>
            <w:r w:rsidR="00C93599">
              <w:rPr>
                <w:rFonts w:ascii="Times New Roman" w:eastAsia="Arial" w:hAnsi="Times New Roman" w:cs="Times New Roman"/>
                <w:sz w:val="18"/>
                <w:szCs w:val="18"/>
              </w:rPr>
              <w:t> 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5.815/18)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54" w:right="148" w:hanging="3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0E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Consta o </w:t>
            </w:r>
            <w:r w:rsidRPr="00490E0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Demonstrativo de Execução da Receita e Despesa</w:t>
            </w:r>
            <w:r w:rsidRPr="00490E00">
              <w:rPr>
                <w:rStyle w:val="ncoradanotaderodap"/>
                <w:rFonts w:ascii="Times New Roman" w:hAnsi="Times New Roman" w:cs="Times New Roman"/>
                <w:sz w:val="18"/>
                <w:szCs w:val="18"/>
                <w:u w:val="single"/>
              </w:rPr>
              <w:footnoteReference w:id="2"/>
            </w:r>
            <w:r w:rsidRPr="00490E00">
              <w:rPr>
                <w:rFonts w:ascii="Times New Roman" w:hAnsi="Times New Roman" w:cs="Times New Roman"/>
                <w:sz w:val="18"/>
                <w:szCs w:val="18"/>
              </w:rPr>
              <w:t xml:space="preserve"> evidenciando de forma consolidada os recursos recebidos em transferência, a contrapartida, os rendimentos de aplicação dos recursos no mercado financeiro, quando for o caso e os saldos – ANEXO IV, de forma consolidada, por parcelas, na conformidade do inciso V, art. 4º, IN/TCE-TO nº 004/2004? 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(</w:t>
            </w:r>
            <w:r w:rsidR="00C93599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rt. 40, §3º, inc. III do Decreto Estadual nº 5.815/18)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54" w:right="148" w:hanging="3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0E00">
              <w:rPr>
                <w:rFonts w:ascii="Times New Roman" w:hAnsi="Times New Roman" w:cs="Times New Roman"/>
                <w:sz w:val="18"/>
                <w:szCs w:val="18"/>
              </w:rPr>
              <w:t xml:space="preserve"> Consta a </w:t>
            </w:r>
            <w:r w:rsidRPr="00490E0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Relação de pagamentos</w:t>
            </w:r>
            <w:r w:rsidRPr="00490E00">
              <w:rPr>
                <w:rStyle w:val="ncoradanotaderodap"/>
                <w:rFonts w:ascii="Times New Roman" w:hAnsi="Times New Roman" w:cs="Times New Roman"/>
                <w:sz w:val="18"/>
                <w:szCs w:val="18"/>
                <w:u w:val="single"/>
              </w:rPr>
              <w:footnoteReference w:id="3"/>
            </w:r>
            <w:r w:rsidRPr="00490E00">
              <w:rPr>
                <w:rFonts w:ascii="Times New Roman" w:hAnsi="Times New Roman" w:cs="Times New Roman"/>
                <w:sz w:val="18"/>
                <w:szCs w:val="18"/>
              </w:rPr>
              <w:t>, conforme origem dos recursos utilizados, em cada parcela liberada? (</w:t>
            </w:r>
            <w:r w:rsidR="00C9359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rt. 40, §3º, inc. IV do Decreto Estadual nº 5.815/18; art. 4º, inc. XI da IN TCE/TO nº 004/04)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54" w:right="148" w:hanging="283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</w:pP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Foram a presentados documentos comprobatórios das despesas em ordem cronológica, segundo o desembolso contendo as descrições detalhadas</w:t>
            </w:r>
            <w:r w:rsidRPr="00490E00">
              <w:rPr>
                <w:rStyle w:val="ncoradanotaderodap"/>
                <w:rFonts w:ascii="Times New Roman" w:eastAsia="Arial" w:hAnsi="Times New Roman" w:cs="Times New Roman"/>
                <w:sz w:val="18"/>
                <w:szCs w:val="18"/>
              </w:rPr>
              <w:footnoteReference w:id="4"/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dos bens/serviços adquiridos? 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>(</w:t>
            </w:r>
            <w:r w:rsidR="00C93599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>a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 xml:space="preserve">rt. 40, §2º 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do Decreto Estadual nº 5.815/18;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 xml:space="preserve"> art. 4º, inc. XI-C da IN TCE/TO nº 004/04)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54" w:right="148" w:hanging="283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Constam para todas as despesas realizadas dentro da vigência da celebração, comprovantes fiscais ou recibos, com data, valor, nome e número do CNPJ da entidade, CNPJ/CPF do fornecedor/prestador de serviço, descrição detalhada dos bens/serviços adquiridos, número do Convênio? (</w:t>
            </w:r>
            <w:r w:rsidR="00C93599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rt. 40, §1º do Decreto Estadual nº 5.815/18)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54" w:right="148" w:hanging="312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Consta </w:t>
            </w: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</w:rPr>
              <w:t>conciliação bancária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, acompanhada dos extrato</w:t>
            </w:r>
            <w:r w:rsidR="00C93599">
              <w:rPr>
                <w:rFonts w:ascii="Times New Roman" w:eastAsia="Arial" w:hAnsi="Times New Roman" w:cs="Times New Roman"/>
                <w:sz w:val="18"/>
                <w:szCs w:val="18"/>
              </w:rPr>
              <w:t>s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da conta bancária e dos rendimentos, evidenciando desde o primeiro recebimento até a última movimentação financeira? (</w:t>
            </w:r>
            <w:r w:rsidR="00C93599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rt. 40, §3º, inc. V do Decreto Estadual nº 5.815/18; art. 4º, inc. VII, VIII e IX da IN TCE/TO nº 004/04)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54" w:right="148" w:hanging="3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Consta demonstrativo específico evidenciando as receitas financeiras auferidas na forma de poupança ou em fundo de aplicação financeira de curto prazo, </w:t>
            </w:r>
            <w:r w:rsidRPr="00490E00">
              <w:rPr>
                <w:rFonts w:ascii="Times New Roman" w:hAnsi="Times New Roman" w:cs="Times New Roman"/>
                <w:sz w:val="18"/>
                <w:szCs w:val="18"/>
              </w:rPr>
              <w:t>e comprovação de que os mesmos foram aplicados no objeto do convênio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? (</w:t>
            </w:r>
            <w:r w:rsidR="00C93599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rt. 116, §§ 4º e 5º da Lei nº 8.666/93; </w:t>
            </w:r>
            <w:r w:rsidR="00C93599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rt. 29, § 1º inc. I e II, Decreto Estadual nº 5.815/18)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54" w:right="148" w:hanging="312"/>
              <w:jc w:val="both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490E00"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 w:rsidRPr="00490E0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Relatório de Execução Físico Financeiro</w:t>
            </w:r>
            <w:r w:rsidRPr="00490E00">
              <w:rPr>
                <w:rFonts w:ascii="Times New Roman" w:hAnsi="Times New Roman" w:cs="Times New Roman"/>
                <w:sz w:val="18"/>
                <w:szCs w:val="18"/>
              </w:rPr>
              <w:t xml:space="preserve"> está apresentado com a descrição das despesas e receitas efetivamente realizadas e sua vinculação com a execução do objeto? 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(</w:t>
            </w:r>
            <w:r w:rsidR="00C93599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rt. 40, §3º, inc. VI do Decreto Estadual nº 5.815/18; art. 4º, inc. IV da IN TCE/TO nº 004/04)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54" w:right="148" w:hanging="3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Cópia das notas de empenhos e ordens de pagamento e demais documentos que comprovem a aplicação do recurso, de acordo com o inciso XI-B, art. 4º, IN/TCE-TO nº 004/2004?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12" w:right="148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Tratando-se de execução de obras e ou serviços de engenharia, recuperação, reforma ampliação, conservação e construção foram apresentados os seguintes documento</w:t>
            </w:r>
            <w:r w:rsidR="00C93599">
              <w:rPr>
                <w:rFonts w:ascii="Times New Roman" w:eastAsia="Arial" w:hAnsi="Times New Roman" w:cs="Times New Roman"/>
                <w:sz w:val="18"/>
                <w:szCs w:val="18"/>
              </w:rPr>
              <w:t>s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: (</w:t>
            </w:r>
            <w:r w:rsidR="00C93599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rt. 5º da IN TCE/TO nº 004/04)</w:t>
            </w: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 w:rsidP="0041510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567" w:right="148" w:hanging="234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Consta comprovação do exercício pleno da </w:t>
            </w: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propriedade do imóvel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, mediante certidão de registro no cartório de imóvel, quando o termo pactuado tiver por objeto a execução de obras, ou benfeitorias no mesmo, art. 4º, inciso XIX da IN/TCE 004/2004?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 w:rsidP="0041510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567" w:right="148" w:hanging="234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Cópia dos </w:t>
            </w: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projetos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</w:t>
            </w: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memorial descritivo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</w:t>
            </w: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cronograma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e </w:t>
            </w: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planilha orçamentária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quando dos recursos se destinarem a obras ou serviços de engenharia, com documentação ilustrativa, quando for o caso;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204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 w:rsidP="0041510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567" w:right="148" w:hanging="234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Cópia do </w:t>
            </w: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</w:rPr>
              <w:t>termo de aceitação definitiva da obra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, quando o instrumento objetivar a execução de obra ou serviço de engenharia? (</w:t>
            </w:r>
            <w:r w:rsidR="00C93599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rt. 40, §3º, inc. X do Decreto Estadual nº 5.815/18)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 w:rsidP="0041510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567" w:right="148" w:hanging="234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A comprovação da </w:t>
            </w: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qualificação técnica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dos executores da obra, com o registro ou inscrição na entidade profissional competente?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 w:rsidP="0041510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567" w:right="148" w:hanging="234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Prova de que a empresa executora possui no seu quadro permanente, profissionais qualificados para a execução ou manutenção das ações?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 w:rsidP="0041510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567" w:right="148" w:hanging="234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Justificativa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quando ocorrer a construção de obra, ou parte dela, diferente do modelo aprovado?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 w:rsidP="0041510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567" w:right="148" w:hanging="234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A relação de contemplados quando for o caso de construção de unidades habitacionais construídas, com os respectivos endereços?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6AF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6AF" w:rsidRPr="00490E00" w:rsidRDefault="00BB16AF" w:rsidP="0041510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567" w:right="148" w:hanging="234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B16AF">
              <w:rPr>
                <w:rFonts w:ascii="Times New Roman" w:eastAsia="Arial" w:hAnsi="Times New Roman" w:cs="Times New Roman"/>
                <w:sz w:val="18"/>
                <w:szCs w:val="18"/>
              </w:rPr>
              <w:lastRenderedPageBreak/>
              <w:t xml:space="preserve">Apresentou </w:t>
            </w:r>
            <w:r w:rsidRPr="00BB16AF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</w:rPr>
              <w:t>Ordem de serviços</w:t>
            </w:r>
            <w:r w:rsidRPr="00BB16A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que caracterizou o início dos trabalhos e </w:t>
            </w:r>
            <w:r w:rsidRPr="00BB16AF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</w:rPr>
              <w:t>boletim de medição</w:t>
            </w:r>
            <w:r w:rsidRPr="00BB16A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contendo todos os serviços realizados? (Art. 40, §3º, inc. VII e VIII do Decreto Estadual nº 5.815/18)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6AF" w:rsidRPr="00490E00" w:rsidRDefault="00BB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6AF" w:rsidRPr="00490E00" w:rsidRDefault="00BB16AF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6AF" w:rsidRPr="00490E00" w:rsidRDefault="00BB16AF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54" w:right="148" w:hanging="312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Apresentou </w:t>
            </w: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</w:rPr>
              <w:t>Relatório Fotográfico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  <w:u w:val="single"/>
              </w:rPr>
              <w:t>,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discriminando os detalhes dos serviços e/ou aquisições realizados? (</w:t>
            </w:r>
            <w:r w:rsidR="00C93599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rt. 40, §3º, inc. IX do Decreto Estadual nº 5.815/18)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 w:rsidP="00B54C0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54" w:right="148" w:hanging="312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Consta a </w:t>
            </w: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</w:rPr>
              <w:t>Relação de Bens permanentes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adquiridos, construídos ou produzidos, com a devida comprovação da incorporação ao órgão executor ou de outro organismo, quando for o caso? (</w:t>
            </w:r>
            <w:r w:rsidR="00C93599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rt. 40, §3º, inc. XI do Decreto Estadual nº 5.815/18; art. 4º, inc. VI da IN TCE/TO nº 04/04</w:t>
            </w:r>
            <w:proofErr w:type="gramStart"/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 w:rsidP="00B54C0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54" w:right="148" w:hanging="312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Consta o </w:t>
            </w: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</w:rPr>
              <w:t>Comprovante de depósito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 eventual devolução dos saldos</w:t>
            </w:r>
            <w:r w:rsidRPr="00490E00">
              <w:rPr>
                <w:rStyle w:val="ncoradanotaderodap"/>
                <w:rFonts w:ascii="Times New Roman" w:eastAsia="Arial" w:hAnsi="Times New Roman" w:cs="Times New Roman"/>
                <w:sz w:val="18"/>
                <w:szCs w:val="18"/>
              </w:rPr>
              <w:footnoteReference w:id="5"/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 recursos não utilizados, em conta bancária especifica indicada no termo do Convênio? (</w:t>
            </w:r>
            <w:r w:rsidR="00C93599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rt. 40, §3º, inc. XII do Decreto Estadual nº 5.815/18; art. 61, inc. III da PI nº 424/16; art. 4º, inc. X da IN TCE/TO nº 04/04</w:t>
            </w:r>
            <w:proofErr w:type="gramStart"/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54" w:right="148" w:hanging="283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Consta anexada aos autos Pesquisa de Preço praticados no Mercado, comprovando que o objeto contratado e/ou adquirido fora o mais vantajoso? (</w:t>
            </w:r>
            <w:r w:rsidR="00C93599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rt. 116 da Lei nº 8.666/93; art. 11 do Decreto Federal nº 6.170/07)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54" w:right="148" w:hanging="312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Cópias da </w:t>
            </w: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</w:rPr>
              <w:t>adjudicação e da homologação das licitações</w:t>
            </w:r>
            <w:r w:rsidRPr="00490E00">
              <w:rPr>
                <w:rStyle w:val="ncoradanotaderodap"/>
                <w:rFonts w:ascii="Times New Roman" w:eastAsia="Arial" w:hAnsi="Times New Roman" w:cs="Times New Roman"/>
                <w:sz w:val="18"/>
                <w:szCs w:val="18"/>
              </w:rPr>
              <w:footnoteReference w:id="6"/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realizadas ou do ato formal de dispensa ou inexigibilidade, acompanhado da prova de sua publicidade, se for o caso, com o respectivo embasamento legal? (</w:t>
            </w:r>
            <w:r w:rsidR="00C93599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rt. 40, §3º, inc. XIII do Decreto Estadual nº 5.815/18; art. 4º, inc. XI-A da IN TCE/TO nº 004/04)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54" w:right="148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90E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A Convenente promoveu a divulgação na internet de todos os atos necessários à transparência na sua sede o convênio celebrado com a administração pública? (</w:t>
            </w:r>
            <w:r w:rsidR="00C93599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rt. 4º, inc. VII do Decreto Estadual nº 5.815/18) (juntar aos autos cópia do sítio, identificando o acesso às informações referente ao convênio)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>
            <w:pPr>
              <w:pStyle w:val="PargrafodaLista"/>
              <w:numPr>
                <w:ilvl w:val="0"/>
                <w:numId w:val="1"/>
              </w:numPr>
              <w:tabs>
                <w:tab w:val="left" w:pos="363"/>
              </w:tabs>
              <w:spacing w:after="0" w:line="240" w:lineRule="auto"/>
              <w:ind w:left="454" w:right="148" w:hanging="283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Os saldos financeiros remanescentes, inclusive os decorrentes de aplicações, foram devolvidos à Administração Pública no prazo improrrogável de 30 (trinta) dias? Caso não tenha sido, foi instaurada a Tomada de Contas do responsável, providenciada pela autoridade competente da Administração Pública? (</w:t>
            </w:r>
            <w:r w:rsidR="00415106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rt. 116, §6</w:t>
            </w:r>
            <w:r w:rsidR="008138BB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º da Lei nº 8.666/93; </w:t>
            </w:r>
            <w:r w:rsidR="00415106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="008138BB">
              <w:rPr>
                <w:rFonts w:ascii="Times New Roman" w:eastAsia="Arial" w:hAnsi="Times New Roman" w:cs="Times New Roman"/>
                <w:sz w:val="18"/>
                <w:szCs w:val="18"/>
              </w:rPr>
              <w:t>rt. 36, paragrafo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único do Decreto Estadual nº 5.815/18)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54" w:right="148" w:hanging="283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Em caso do Convenente</w:t>
            </w: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não ter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prestado contas, </w:t>
            </w: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</w:rPr>
              <w:t>comprovado o recolhimento do débito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ou caso constate irregularidades na sua aplicação, o </w:t>
            </w: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gestor do </w:t>
            </w:r>
            <w:proofErr w:type="gramStart"/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órgão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Concedente</w:t>
            </w:r>
            <w:proofErr w:type="gramEnd"/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tomou as</w:t>
            </w: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providências cabíveis 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que constam no art. 8º,</w:t>
            </w: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IN/TCE-TO nº 004/2004? (</w:t>
            </w:r>
            <w:r w:rsidR="00415106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rt. 44, § 1º, inc. I e II do Decreto Estadual nº 5.815/18)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54" w:right="148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Consta </w:t>
            </w: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</w:rPr>
              <w:t>Relatório de acompanhamento e fiscalização da execução do convênio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que comprovem a atuação do </w:t>
            </w: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fiscal do convênio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, onde o mesmo tenha acompanhado a boa e regular aplicação dos recursos, o qual informará todas as</w:t>
            </w: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ocorrências relacionadas a </w:t>
            </w: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consecução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do objeto e o cumprimento das metas do Plano de Trabalho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, tal qual instrui art. 67 da Lei nº</w:t>
            </w: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8.666/93; </w:t>
            </w:r>
            <w:proofErr w:type="spellStart"/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arts</w:t>
            </w:r>
            <w:proofErr w:type="spellEnd"/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. 32, 33, 34 e 35 do Decreto estadual nº 5.815/18?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40" w:right="148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0E00">
              <w:rPr>
                <w:rFonts w:ascii="Times New Roman" w:hAnsi="Times New Roman" w:cs="Times New Roman"/>
                <w:sz w:val="18"/>
                <w:szCs w:val="18"/>
              </w:rPr>
              <w:t xml:space="preserve">Existe parecer emitido pela </w:t>
            </w:r>
            <w:r w:rsidRPr="00490E0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unidade técnica da entidade concedente</w:t>
            </w:r>
            <w:r w:rsidRPr="00490E00">
              <w:rPr>
                <w:rFonts w:ascii="Times New Roman" w:hAnsi="Times New Roman" w:cs="Times New Roman"/>
                <w:sz w:val="18"/>
                <w:szCs w:val="18"/>
              </w:rPr>
              <w:t xml:space="preserve"> do convênio, nos termos do §1º do art. 2º e art. 4º, inc. </w:t>
            </w:r>
            <w:bookmarkStart w:id="0" w:name="_GoBack"/>
            <w:bookmarkEnd w:id="0"/>
            <w:r w:rsidRPr="00490E00">
              <w:rPr>
                <w:rFonts w:ascii="Times New Roman" w:hAnsi="Times New Roman" w:cs="Times New Roman"/>
                <w:sz w:val="18"/>
                <w:szCs w:val="18"/>
              </w:rPr>
              <w:t>XVII, da IN/TCE Nº 004/2004? (</w:t>
            </w:r>
            <w:r w:rsidR="004151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90E00">
              <w:rPr>
                <w:rFonts w:ascii="Times New Roman" w:hAnsi="Times New Roman" w:cs="Times New Roman"/>
                <w:sz w:val="18"/>
                <w:szCs w:val="18"/>
              </w:rPr>
              <w:t>rt. 42, inc. I e II do Decreto Estadual nº 5.815/18)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40" w:right="148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0E00">
              <w:rPr>
                <w:rFonts w:ascii="Times New Roman" w:hAnsi="Times New Roman" w:cs="Times New Roman"/>
                <w:sz w:val="18"/>
                <w:szCs w:val="18"/>
              </w:rPr>
              <w:t>Os ajustes realizados durante a execução do objeto integrarão o Plano de Trabalho, desde que submetidos e aprovados previamente pela autoridade competente? (</w:t>
            </w:r>
            <w:r w:rsidR="004151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90E00">
              <w:rPr>
                <w:rFonts w:ascii="Times New Roman" w:hAnsi="Times New Roman" w:cs="Times New Roman"/>
                <w:sz w:val="18"/>
                <w:szCs w:val="18"/>
              </w:rPr>
              <w:t>rt. 20, § 3º da PI nº 424/16; art. 7º, § único do Decreto Estadual nº 5.815/18)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54" w:right="148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lastRenderedPageBreak/>
              <w:t xml:space="preserve">Constam nos autos </w:t>
            </w:r>
            <w:r w:rsidRPr="00490E00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irregularidades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decorrentes do uso dos recursos ou pendências de ordem técnica</w:t>
            </w:r>
            <w:r w:rsidRPr="00490E00">
              <w:rPr>
                <w:rStyle w:val="ncoradanotaderodap"/>
                <w:rFonts w:ascii="Times New Roman" w:eastAsia="Arial" w:hAnsi="Times New Roman" w:cs="Times New Roman"/>
                <w:sz w:val="18"/>
                <w:szCs w:val="18"/>
              </w:rPr>
              <w:footnoteReference w:id="7"/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? Se for o caso, existem justificativas e/ou apresentação de informações e esclarecimentos sobre os fatos apurados? (</w:t>
            </w:r>
            <w:r w:rsidR="00415106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rt. 35 do Decreto Estadual nº 5.815/18)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54" w:right="148" w:hanging="283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Consta manifestação da 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  <w:u w:val="single"/>
              </w:rPr>
              <w:t>análise da Prestação de contas fina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l </w:t>
            </w:r>
            <w:r w:rsidR="00415106"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pela concedente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dentro do prazo de 60 (sessenta) dias, prorrogável por igual período, desde que devidamente justificado? (</w:t>
            </w:r>
            <w:r w:rsidR="00415106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490E00">
              <w:rPr>
                <w:rFonts w:ascii="Times New Roman" w:eastAsia="Arial" w:hAnsi="Times New Roman" w:cs="Times New Roman"/>
                <w:sz w:val="18"/>
                <w:szCs w:val="18"/>
              </w:rPr>
              <w:t>rt. 41 do Decreto Estadual nº 5.815/18)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506" w:right="1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0E00">
              <w:rPr>
                <w:rFonts w:ascii="Times New Roman" w:hAnsi="Times New Roman" w:cs="Times New Roman"/>
                <w:sz w:val="18"/>
                <w:szCs w:val="18"/>
              </w:rPr>
              <w:t xml:space="preserve">Consta </w:t>
            </w:r>
            <w:r w:rsidRPr="00490E00">
              <w:rPr>
                <w:rFonts w:ascii="Times New Roman" w:hAnsi="Times New Roman" w:cs="Times New Roman"/>
                <w:b/>
                <w:sz w:val="18"/>
                <w:szCs w:val="18"/>
              </w:rPr>
              <w:t>relatório</w:t>
            </w:r>
            <w:r w:rsidRPr="00490E00">
              <w:rPr>
                <w:rFonts w:ascii="Times New Roman" w:hAnsi="Times New Roman" w:cs="Times New Roman"/>
                <w:sz w:val="18"/>
                <w:szCs w:val="18"/>
              </w:rPr>
              <w:t xml:space="preserve"> emitido pelo dirigente da unidade repassadora e certificado do órgão de controle interno, contendo informações sobre as irregularidades ou ilegalidades eventualmente constatadas e as medidas adotadas para corrigi-las, conforme art. 4º, inc. XVIII, da IN/TCE Nº 004/2004?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ind w:left="-70"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54" w:right="148" w:hanging="3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0E00">
              <w:rPr>
                <w:rFonts w:ascii="Times New Roman" w:hAnsi="Times New Roman" w:cs="Times New Roman"/>
                <w:sz w:val="18"/>
                <w:szCs w:val="18"/>
              </w:rPr>
              <w:t>Consta o encaminhamento a Assembleia Legislativa e ao TCE da relação de Convênios, independentemente do valor, mensalmente, no prazo máximo de 10 (dez) dias após o início do mês subsequente? (</w:t>
            </w:r>
            <w:proofErr w:type="spellStart"/>
            <w:r w:rsidR="004151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90E00">
              <w:rPr>
                <w:rFonts w:ascii="Times New Roman" w:hAnsi="Times New Roman" w:cs="Times New Roman"/>
                <w:sz w:val="18"/>
                <w:szCs w:val="18"/>
              </w:rPr>
              <w:t>rts</w:t>
            </w:r>
            <w:proofErr w:type="spellEnd"/>
            <w:r w:rsidRPr="00490E00">
              <w:rPr>
                <w:rFonts w:ascii="Times New Roman" w:hAnsi="Times New Roman" w:cs="Times New Roman"/>
                <w:sz w:val="18"/>
                <w:szCs w:val="18"/>
              </w:rPr>
              <w:t>. 6º e 7º, IN/TCE-TO nº 004/2004; art.43 do Decreto Estadual nº</w:t>
            </w:r>
            <w:r w:rsidR="004151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90E00">
              <w:rPr>
                <w:rFonts w:ascii="Times New Roman" w:hAnsi="Times New Roman" w:cs="Times New Roman"/>
                <w:sz w:val="18"/>
                <w:szCs w:val="18"/>
              </w:rPr>
              <w:t>5.815/18)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567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9975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54" w:right="148" w:hanging="312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E00">
              <w:rPr>
                <w:rFonts w:ascii="Times New Roman" w:hAnsi="Times New Roman" w:cs="Times New Roman"/>
                <w:sz w:val="18"/>
                <w:szCs w:val="18"/>
              </w:rPr>
              <w:t>A análise</w:t>
            </w:r>
            <w:r w:rsidRPr="00490E00"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8"/>
            </w:r>
            <w:r w:rsidRPr="00490E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5106" w:rsidRPr="00490E00">
              <w:rPr>
                <w:rFonts w:ascii="Times New Roman" w:hAnsi="Times New Roman" w:cs="Times New Roman"/>
                <w:sz w:val="18"/>
                <w:szCs w:val="18"/>
              </w:rPr>
              <w:t>da concedente</w:t>
            </w:r>
            <w:r w:rsidRPr="00490E00">
              <w:rPr>
                <w:rFonts w:ascii="Times New Roman" w:hAnsi="Times New Roman" w:cs="Times New Roman"/>
                <w:sz w:val="18"/>
                <w:szCs w:val="18"/>
              </w:rPr>
              <w:t xml:space="preserve"> resultou na baixa contábil do convenente? Caso não, foi exauridas todas as providências cabíveis para a regularização das pendencias ou reparação do dano? (</w:t>
            </w:r>
            <w:r w:rsidR="004151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90E00">
              <w:rPr>
                <w:rFonts w:ascii="Times New Roman" w:hAnsi="Times New Roman" w:cs="Times New Roman"/>
                <w:sz w:val="18"/>
                <w:szCs w:val="18"/>
              </w:rPr>
              <w:t>rt. 41, § 1º, inc. I, II e III do Decreto Estadual nº 5.815/18)</w:t>
            </w:r>
            <w:r w:rsidRPr="00490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567" w:rsidRPr="00490E00" w:rsidRDefault="0089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6AF" w:rsidRPr="00490E00" w:rsidTr="00804D15">
        <w:trPr>
          <w:trHeight w:val="450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6AF" w:rsidRPr="00490E00" w:rsidRDefault="00BB16A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54" w:right="148" w:hanging="3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16AF">
              <w:rPr>
                <w:rFonts w:ascii="Times New Roman" w:hAnsi="Times New Roman" w:cs="Times New Roman"/>
                <w:sz w:val="18"/>
                <w:szCs w:val="18"/>
              </w:rPr>
              <w:t>Consta registrado no campo “situação” no Sistema de Acompanhamento de Convênios e Parcerias ou outro que vier a substituí-lo, o resultado da análise do Relatório conclusivo da prestação de contas final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convênio</w:t>
            </w:r>
            <w:r w:rsidRPr="00BB16AF">
              <w:rPr>
                <w:rFonts w:ascii="Times New Roman" w:hAnsi="Times New Roman" w:cs="Times New Roman"/>
                <w:sz w:val="18"/>
                <w:szCs w:val="18"/>
              </w:rPr>
              <w:t>? (Art. 41, §§ 2º e 3º do Decreto Estadual nº 5.815/18)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6AF" w:rsidRPr="00490E00" w:rsidRDefault="00BB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6AF" w:rsidRPr="00490E00" w:rsidRDefault="00BB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6AF" w:rsidRPr="00490E00" w:rsidRDefault="00BB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43B3F" w:rsidRPr="00490E00" w:rsidRDefault="00343B3F">
      <w:pPr>
        <w:spacing w:line="360" w:lineRule="auto"/>
        <w:ind w:right="-1"/>
        <w:rPr>
          <w:rFonts w:ascii="Times New Roman" w:hAnsi="Times New Roman" w:cs="Times New Roman"/>
          <w:b/>
          <w:sz w:val="18"/>
          <w:szCs w:val="18"/>
        </w:rPr>
      </w:pPr>
    </w:p>
    <w:p w:rsidR="00892567" w:rsidRPr="00490E00" w:rsidRDefault="00997513" w:rsidP="00343B3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90E00">
        <w:rPr>
          <w:rFonts w:ascii="Times New Roman" w:hAnsi="Times New Roman" w:cs="Times New Roman"/>
          <w:b/>
          <w:sz w:val="18"/>
          <w:szCs w:val="18"/>
        </w:rPr>
        <w:t>Apontamentos:</w:t>
      </w:r>
    </w:p>
    <w:tbl>
      <w:tblPr>
        <w:tblStyle w:val="Tabelacomgrade"/>
        <w:tblW w:w="9214" w:type="dxa"/>
        <w:tblInd w:w="108" w:type="dxa"/>
        <w:tblLook w:val="04A0"/>
      </w:tblPr>
      <w:tblGrid>
        <w:gridCol w:w="9214"/>
      </w:tblGrid>
      <w:tr w:rsidR="00892567" w:rsidRPr="00490E00" w:rsidTr="00804D15">
        <w:tc>
          <w:tcPr>
            <w:tcW w:w="9214" w:type="dxa"/>
            <w:shd w:val="clear" w:color="auto" w:fill="auto"/>
          </w:tcPr>
          <w:p w:rsidR="00892567" w:rsidRPr="00490E00" w:rsidRDefault="00892567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92567" w:rsidRPr="00490E00" w:rsidTr="00804D15">
        <w:tc>
          <w:tcPr>
            <w:tcW w:w="9214" w:type="dxa"/>
            <w:shd w:val="clear" w:color="auto" w:fill="auto"/>
          </w:tcPr>
          <w:p w:rsidR="00892567" w:rsidRPr="00490E00" w:rsidRDefault="00892567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92567" w:rsidRPr="00490E00" w:rsidTr="00804D15">
        <w:tc>
          <w:tcPr>
            <w:tcW w:w="9214" w:type="dxa"/>
            <w:shd w:val="clear" w:color="auto" w:fill="auto"/>
          </w:tcPr>
          <w:p w:rsidR="00892567" w:rsidRPr="00490E00" w:rsidRDefault="00892567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4C0B" w:rsidRPr="00490E00" w:rsidTr="00804D15">
        <w:tc>
          <w:tcPr>
            <w:tcW w:w="9214" w:type="dxa"/>
            <w:shd w:val="clear" w:color="auto" w:fill="auto"/>
          </w:tcPr>
          <w:p w:rsidR="00B54C0B" w:rsidRPr="00490E00" w:rsidRDefault="00B54C0B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4C0B" w:rsidRPr="00490E00" w:rsidTr="00804D15">
        <w:tc>
          <w:tcPr>
            <w:tcW w:w="9214" w:type="dxa"/>
            <w:shd w:val="clear" w:color="auto" w:fill="auto"/>
          </w:tcPr>
          <w:p w:rsidR="00B54C0B" w:rsidRPr="00490E00" w:rsidRDefault="00B54C0B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4C0B" w:rsidRPr="00490E00" w:rsidTr="00804D15">
        <w:tc>
          <w:tcPr>
            <w:tcW w:w="9214" w:type="dxa"/>
            <w:shd w:val="clear" w:color="auto" w:fill="auto"/>
          </w:tcPr>
          <w:p w:rsidR="00B54C0B" w:rsidRPr="00490E00" w:rsidRDefault="00B54C0B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4C0B" w:rsidRPr="00490E00" w:rsidTr="00804D15">
        <w:tc>
          <w:tcPr>
            <w:tcW w:w="9214" w:type="dxa"/>
            <w:shd w:val="clear" w:color="auto" w:fill="auto"/>
          </w:tcPr>
          <w:p w:rsidR="00B54C0B" w:rsidRPr="00490E00" w:rsidRDefault="00B54C0B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4C0B" w:rsidRPr="00490E00" w:rsidTr="00804D15">
        <w:tc>
          <w:tcPr>
            <w:tcW w:w="9214" w:type="dxa"/>
            <w:shd w:val="clear" w:color="auto" w:fill="auto"/>
          </w:tcPr>
          <w:p w:rsidR="00B54C0B" w:rsidRPr="00490E00" w:rsidRDefault="00B54C0B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4C0B" w:rsidRPr="00490E00" w:rsidTr="00804D15">
        <w:tc>
          <w:tcPr>
            <w:tcW w:w="9214" w:type="dxa"/>
            <w:shd w:val="clear" w:color="auto" w:fill="auto"/>
          </w:tcPr>
          <w:p w:rsidR="00B54C0B" w:rsidRPr="00490E00" w:rsidRDefault="00B54C0B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4C0B" w:rsidRPr="00490E00" w:rsidTr="00804D15">
        <w:tc>
          <w:tcPr>
            <w:tcW w:w="9214" w:type="dxa"/>
            <w:shd w:val="clear" w:color="auto" w:fill="auto"/>
          </w:tcPr>
          <w:p w:rsidR="00B54C0B" w:rsidRPr="00490E00" w:rsidRDefault="00B54C0B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4C0B" w:rsidRPr="00490E00" w:rsidTr="00804D15">
        <w:tc>
          <w:tcPr>
            <w:tcW w:w="9214" w:type="dxa"/>
            <w:shd w:val="clear" w:color="auto" w:fill="auto"/>
          </w:tcPr>
          <w:p w:rsidR="00B54C0B" w:rsidRPr="00490E00" w:rsidRDefault="00B54C0B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4C0B" w:rsidRPr="00490E00" w:rsidTr="00804D15">
        <w:tc>
          <w:tcPr>
            <w:tcW w:w="9214" w:type="dxa"/>
            <w:shd w:val="clear" w:color="auto" w:fill="auto"/>
          </w:tcPr>
          <w:p w:rsidR="00B54C0B" w:rsidRPr="00490E00" w:rsidRDefault="00B54C0B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92567" w:rsidRDefault="00892567">
      <w:pPr>
        <w:spacing w:after="0"/>
        <w:ind w:left="-709"/>
        <w:jc w:val="both"/>
        <w:rPr>
          <w:rFonts w:ascii="Times New Roman" w:hAnsi="Times New Roman" w:cs="Times New Roman"/>
          <w:sz w:val="18"/>
          <w:szCs w:val="18"/>
        </w:rPr>
      </w:pPr>
    </w:p>
    <w:p w:rsidR="00804D15" w:rsidRPr="00490E00" w:rsidRDefault="00804D15" w:rsidP="00804D1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90E00">
        <w:rPr>
          <w:rFonts w:ascii="Times New Roman" w:eastAsia="Arial" w:hAnsi="Times New Roman" w:cs="Times New Roman"/>
          <w:b/>
          <w:sz w:val="18"/>
          <w:szCs w:val="18"/>
        </w:rPr>
        <w:t>Assinatura e Matrícula do Servidor</w:t>
      </w:r>
    </w:p>
    <w:sectPr w:rsidR="00804D15" w:rsidRPr="00490E00" w:rsidSect="00490E00">
      <w:headerReference w:type="default" r:id="rId9"/>
      <w:pgSz w:w="11906" w:h="16838"/>
      <w:pgMar w:top="1701" w:right="1134" w:bottom="1134" w:left="1701" w:header="37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191" w:rsidRDefault="00576191">
      <w:pPr>
        <w:spacing w:after="0" w:line="240" w:lineRule="auto"/>
      </w:pPr>
      <w:r>
        <w:separator/>
      </w:r>
    </w:p>
  </w:endnote>
  <w:endnote w:type="continuationSeparator" w:id="0">
    <w:p w:rsidR="00576191" w:rsidRDefault="0057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Medium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191" w:rsidRDefault="00576191">
      <w:r>
        <w:separator/>
      </w:r>
    </w:p>
  </w:footnote>
  <w:footnote w:type="continuationSeparator" w:id="0">
    <w:p w:rsidR="00576191" w:rsidRDefault="00576191">
      <w:r>
        <w:continuationSeparator/>
      </w:r>
    </w:p>
  </w:footnote>
  <w:footnote w:id="1">
    <w:p w:rsidR="00892567" w:rsidRPr="00804D15" w:rsidRDefault="00997513" w:rsidP="00C93599">
      <w:pPr>
        <w:pStyle w:val="Textodenotaderodap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4"/>
        </w:rPr>
      </w:pPr>
      <w:r w:rsidRPr="00804D15">
        <w:rPr>
          <w:rStyle w:val="Caracteresdenotaderodap"/>
          <w:rFonts w:ascii="Times New Roman" w:hAnsi="Times New Roman" w:cs="Times New Roman"/>
          <w:sz w:val="14"/>
          <w:szCs w:val="14"/>
        </w:rPr>
        <w:footnoteRef/>
      </w:r>
      <w:r w:rsidRPr="00804D15">
        <w:rPr>
          <w:rFonts w:ascii="Times New Roman" w:hAnsi="Times New Roman" w:cs="Times New Roman"/>
          <w:b/>
          <w:sz w:val="14"/>
          <w:szCs w:val="14"/>
          <w:vertAlign w:val="superscript"/>
        </w:rPr>
        <w:tab/>
      </w:r>
      <w:r w:rsidRPr="00804D15">
        <w:rPr>
          <w:rFonts w:ascii="Times New Roman" w:hAnsi="Times New Roman" w:cs="Times New Roman"/>
          <w:sz w:val="14"/>
          <w:szCs w:val="14"/>
          <w:vertAlign w:val="superscript"/>
        </w:rPr>
        <w:t xml:space="preserve"> </w:t>
      </w:r>
      <w:r w:rsidRPr="00804D15">
        <w:rPr>
          <w:rFonts w:ascii="Times New Roman" w:hAnsi="Times New Roman" w:cs="Times New Roman"/>
          <w:sz w:val="14"/>
          <w:szCs w:val="14"/>
        </w:rPr>
        <w:t xml:space="preserve">Se, ao término do prazo estabelecido o convenente não apresentar a prestação de contas o concedente registrará a </w:t>
      </w:r>
      <w:r w:rsidRPr="00804D15">
        <w:rPr>
          <w:rFonts w:ascii="Times New Roman" w:hAnsi="Times New Roman" w:cs="Times New Roman"/>
          <w:b/>
          <w:sz w:val="14"/>
          <w:szCs w:val="14"/>
        </w:rPr>
        <w:t>inadimplência</w:t>
      </w:r>
      <w:r w:rsidRPr="00804D15">
        <w:rPr>
          <w:rFonts w:ascii="Times New Roman" w:hAnsi="Times New Roman" w:cs="Times New Roman"/>
          <w:sz w:val="14"/>
          <w:szCs w:val="14"/>
        </w:rPr>
        <w:t xml:space="preserve"> no Sistema de Acompanhamento de Convênios e </w:t>
      </w:r>
      <w:r w:rsidR="00C93599" w:rsidRPr="00804D15">
        <w:rPr>
          <w:rFonts w:ascii="Times New Roman" w:hAnsi="Times New Roman" w:cs="Times New Roman"/>
          <w:sz w:val="14"/>
          <w:szCs w:val="14"/>
        </w:rPr>
        <w:t>P</w:t>
      </w:r>
      <w:r w:rsidRPr="00804D15">
        <w:rPr>
          <w:rFonts w:ascii="Times New Roman" w:hAnsi="Times New Roman" w:cs="Times New Roman"/>
          <w:sz w:val="14"/>
          <w:szCs w:val="14"/>
        </w:rPr>
        <w:t xml:space="preserve">arcerias por omissão do dever de prestar contas, para fins de Instauração de </w:t>
      </w:r>
      <w:r w:rsidRPr="00804D15">
        <w:rPr>
          <w:rFonts w:ascii="Times New Roman" w:hAnsi="Times New Roman" w:cs="Times New Roman"/>
          <w:b/>
          <w:sz w:val="14"/>
          <w:szCs w:val="14"/>
        </w:rPr>
        <w:t>Tomada de Contas especial</w:t>
      </w:r>
      <w:r w:rsidRPr="00804D15">
        <w:rPr>
          <w:rFonts w:ascii="Times New Roman" w:hAnsi="Times New Roman" w:cs="Times New Roman"/>
          <w:sz w:val="14"/>
          <w:szCs w:val="14"/>
        </w:rPr>
        <w:t xml:space="preserve"> sob aquele argumento e adoção de outras medidas para reparação do dano ao erário. Art. 40, § 6º do Decreto Estadual nº 5.815/18.</w:t>
      </w:r>
    </w:p>
  </w:footnote>
  <w:footnote w:id="2">
    <w:p w:rsidR="00892567" w:rsidRPr="00804D15" w:rsidRDefault="00997513" w:rsidP="00804D15">
      <w:pPr>
        <w:pStyle w:val="Textodenotaderodap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4"/>
        </w:rPr>
      </w:pPr>
      <w:r w:rsidRPr="00804D15">
        <w:rPr>
          <w:rStyle w:val="Caracteresdenotaderodap"/>
          <w:rFonts w:ascii="Times New Roman" w:hAnsi="Times New Roman" w:cs="Times New Roman"/>
          <w:sz w:val="14"/>
          <w:szCs w:val="14"/>
        </w:rPr>
        <w:footnoteRef/>
      </w:r>
      <w:r w:rsidRPr="00804D15">
        <w:rPr>
          <w:rFonts w:ascii="Times New Roman" w:hAnsi="Times New Roman" w:cs="Times New Roman"/>
          <w:b/>
          <w:sz w:val="14"/>
          <w:szCs w:val="14"/>
          <w:vertAlign w:val="superscript"/>
        </w:rPr>
        <w:tab/>
        <w:t xml:space="preserve"> </w:t>
      </w:r>
      <w:r w:rsidRPr="00804D15">
        <w:rPr>
          <w:rFonts w:ascii="Times New Roman" w:hAnsi="Times New Roman" w:cs="Times New Roman"/>
          <w:sz w:val="14"/>
          <w:szCs w:val="14"/>
        </w:rPr>
        <w:t xml:space="preserve">As </w:t>
      </w:r>
      <w:r w:rsidRPr="00804D15">
        <w:rPr>
          <w:rFonts w:ascii="Times New Roman" w:hAnsi="Times New Roman" w:cs="Times New Roman"/>
          <w:b/>
          <w:sz w:val="14"/>
          <w:szCs w:val="14"/>
        </w:rPr>
        <w:t>Receitas</w:t>
      </w:r>
      <w:r w:rsidRPr="00804D15">
        <w:rPr>
          <w:rFonts w:ascii="Times New Roman" w:hAnsi="Times New Roman" w:cs="Times New Roman"/>
          <w:sz w:val="14"/>
          <w:szCs w:val="14"/>
        </w:rPr>
        <w:t xml:space="preserve"> devem estar de acordo com as ordens bancárias liberadas, com a contrapartida (quando houver) utilizada e com as aplicações financeiras, demonstradas nos extratos bancários. As </w:t>
      </w:r>
      <w:r w:rsidRPr="00804D15">
        <w:rPr>
          <w:rFonts w:ascii="Times New Roman" w:hAnsi="Times New Roman" w:cs="Times New Roman"/>
          <w:b/>
          <w:sz w:val="14"/>
          <w:szCs w:val="14"/>
        </w:rPr>
        <w:t>despesas</w:t>
      </w:r>
      <w:r w:rsidRPr="00804D15">
        <w:rPr>
          <w:rFonts w:ascii="Times New Roman" w:hAnsi="Times New Roman" w:cs="Times New Roman"/>
          <w:sz w:val="14"/>
          <w:szCs w:val="14"/>
        </w:rPr>
        <w:t xml:space="preserve"> devem estar de acordo com </w:t>
      </w:r>
      <w:proofErr w:type="gramStart"/>
      <w:r w:rsidRPr="00804D15">
        <w:rPr>
          <w:rFonts w:ascii="Times New Roman" w:hAnsi="Times New Roman" w:cs="Times New Roman"/>
          <w:sz w:val="14"/>
          <w:szCs w:val="14"/>
        </w:rPr>
        <w:t>a Relação de Pagamento efetuados</w:t>
      </w:r>
      <w:proofErr w:type="gramEnd"/>
      <w:r w:rsidRPr="00804D15">
        <w:rPr>
          <w:rFonts w:ascii="Times New Roman" w:hAnsi="Times New Roman" w:cs="Times New Roman"/>
          <w:sz w:val="14"/>
          <w:szCs w:val="14"/>
        </w:rPr>
        <w:t>.</w:t>
      </w:r>
    </w:p>
  </w:footnote>
  <w:footnote w:id="3">
    <w:p w:rsidR="00892567" w:rsidRPr="00804D15" w:rsidRDefault="00997513" w:rsidP="00804D15">
      <w:pPr>
        <w:pStyle w:val="Textodenotaderodap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4"/>
        </w:rPr>
      </w:pPr>
      <w:r w:rsidRPr="00804D15">
        <w:rPr>
          <w:rStyle w:val="Caracteresdenotaderodap"/>
          <w:rFonts w:ascii="Times New Roman" w:hAnsi="Times New Roman" w:cs="Times New Roman"/>
          <w:sz w:val="14"/>
          <w:szCs w:val="14"/>
        </w:rPr>
        <w:footnoteRef/>
      </w:r>
      <w:r w:rsidRPr="00804D15">
        <w:rPr>
          <w:rFonts w:ascii="Times New Roman" w:hAnsi="Times New Roman" w:cs="Times New Roman"/>
          <w:b/>
          <w:sz w:val="14"/>
          <w:szCs w:val="14"/>
          <w:vertAlign w:val="superscript"/>
        </w:rPr>
        <w:tab/>
        <w:t xml:space="preserve"> </w:t>
      </w:r>
      <w:r w:rsidRPr="00804D15">
        <w:rPr>
          <w:rFonts w:ascii="Times New Roman" w:hAnsi="Times New Roman" w:cs="Times New Roman"/>
          <w:sz w:val="14"/>
          <w:szCs w:val="14"/>
        </w:rPr>
        <w:t>As naturezas das despesas descritas devem estar de acordo com as do Plano de Trabalho e o plano de aplicação aprovado.</w:t>
      </w:r>
    </w:p>
  </w:footnote>
  <w:footnote w:id="4">
    <w:p w:rsidR="00892567" w:rsidRDefault="00997513" w:rsidP="00804D15">
      <w:pPr>
        <w:pStyle w:val="Textodenotaderodap"/>
        <w:tabs>
          <w:tab w:val="left" w:pos="284"/>
        </w:tabs>
        <w:jc w:val="both"/>
      </w:pPr>
      <w:r w:rsidRPr="00804D15">
        <w:rPr>
          <w:rStyle w:val="Caracteresdenotaderodap"/>
          <w:rFonts w:ascii="Times New Roman" w:hAnsi="Times New Roman" w:cs="Times New Roman"/>
          <w:sz w:val="14"/>
          <w:szCs w:val="14"/>
        </w:rPr>
        <w:footnoteRef/>
      </w:r>
      <w:r w:rsidRPr="00804D15">
        <w:rPr>
          <w:rFonts w:ascii="Times New Roman" w:hAnsi="Times New Roman" w:cs="Times New Roman"/>
          <w:b/>
          <w:color w:val="000000"/>
          <w:sz w:val="14"/>
          <w:szCs w:val="14"/>
          <w:vertAlign w:val="subscript"/>
        </w:rPr>
        <w:tab/>
        <w:t xml:space="preserve"> </w:t>
      </w:r>
      <w:r w:rsidRPr="00804D15">
        <w:rPr>
          <w:rFonts w:ascii="Times New Roman" w:hAnsi="Times New Roman" w:cs="Times New Roman"/>
          <w:sz w:val="14"/>
          <w:szCs w:val="14"/>
        </w:rPr>
        <w:t>Os documentos comprobatórios das despesas não serão aceitos com rasuras, ilegíveis ou com prazo de validade vencido. As notas fiscais devidamente identificadas com o número do convênio, quitadas e atestadas com carimbo contendo nome e matricula do atestador; e recibos com dados completos sobre o emitente.</w:t>
      </w:r>
    </w:p>
  </w:footnote>
  <w:footnote w:id="5">
    <w:p w:rsidR="00892567" w:rsidRPr="00804D15" w:rsidRDefault="00997513" w:rsidP="00804D15">
      <w:pPr>
        <w:pStyle w:val="Textodenotaderodap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4"/>
        </w:rPr>
      </w:pPr>
      <w:r w:rsidRPr="00804D15">
        <w:rPr>
          <w:rStyle w:val="Caracteresdenotaderodap"/>
          <w:rFonts w:ascii="Times New Roman" w:hAnsi="Times New Roman" w:cs="Times New Roman"/>
          <w:sz w:val="14"/>
          <w:szCs w:val="14"/>
        </w:rPr>
        <w:footnoteRef/>
      </w:r>
      <w:r w:rsidRPr="00804D15">
        <w:rPr>
          <w:rStyle w:val="FootnoteCharacters"/>
          <w:rFonts w:ascii="Times New Roman" w:hAnsi="Times New Roman" w:cs="Times New Roman"/>
          <w:b/>
          <w:sz w:val="14"/>
          <w:szCs w:val="14"/>
        </w:rPr>
        <w:tab/>
      </w:r>
      <w:r w:rsidRPr="00804D15">
        <w:rPr>
          <w:rFonts w:ascii="Times New Roman" w:hAnsi="Times New Roman" w:cs="Times New Roman"/>
          <w:sz w:val="14"/>
          <w:szCs w:val="14"/>
        </w:rPr>
        <w:t xml:space="preserve"> Os saldos em conta, inclusive os provenientes das receitas obtidas nas aplicações financeiras realizadas, </w:t>
      </w:r>
      <w:r w:rsidRPr="00804D15">
        <w:rPr>
          <w:rFonts w:ascii="Times New Roman" w:hAnsi="Times New Roman" w:cs="Times New Roman"/>
          <w:b/>
          <w:sz w:val="14"/>
          <w:szCs w:val="14"/>
        </w:rPr>
        <w:t>não utilizadas</w:t>
      </w:r>
      <w:r w:rsidRPr="00804D15">
        <w:rPr>
          <w:rFonts w:ascii="Times New Roman" w:hAnsi="Times New Roman" w:cs="Times New Roman"/>
          <w:sz w:val="14"/>
          <w:szCs w:val="14"/>
        </w:rPr>
        <w:t xml:space="preserve"> no objeto pactuado, serão </w:t>
      </w:r>
      <w:r w:rsidRPr="00804D15">
        <w:rPr>
          <w:rFonts w:ascii="Times New Roman" w:hAnsi="Times New Roman" w:cs="Times New Roman"/>
          <w:b/>
          <w:sz w:val="14"/>
          <w:szCs w:val="14"/>
        </w:rPr>
        <w:t>devolvidos</w:t>
      </w:r>
      <w:r w:rsidRPr="00804D15">
        <w:rPr>
          <w:rFonts w:ascii="Times New Roman" w:hAnsi="Times New Roman" w:cs="Times New Roman"/>
          <w:sz w:val="14"/>
          <w:szCs w:val="14"/>
        </w:rPr>
        <w:t xml:space="preserve"> no prazo estabelecido para a apresentação da prestação de contas observando a proporcionalidade dos recursos que cabe </w:t>
      </w:r>
      <w:proofErr w:type="gramStart"/>
      <w:r w:rsidRPr="00804D15">
        <w:rPr>
          <w:rFonts w:ascii="Times New Roman" w:hAnsi="Times New Roman" w:cs="Times New Roman"/>
          <w:sz w:val="14"/>
          <w:szCs w:val="14"/>
        </w:rPr>
        <w:t>ao concedente</w:t>
      </w:r>
      <w:proofErr w:type="gramEnd"/>
      <w:r w:rsidRPr="00804D15">
        <w:rPr>
          <w:rFonts w:ascii="Times New Roman" w:hAnsi="Times New Roman" w:cs="Times New Roman"/>
          <w:sz w:val="14"/>
          <w:szCs w:val="14"/>
        </w:rPr>
        <w:t xml:space="preserve"> e ao convenente, independentemente da data em que foram aportados pelas partes. Art. 40, §7° do Decreto Estadual nº 5.815/18</w:t>
      </w:r>
      <w:r w:rsidR="008138BB" w:rsidRPr="00804D15">
        <w:rPr>
          <w:rFonts w:ascii="Times New Roman" w:hAnsi="Times New Roman" w:cs="Times New Roman"/>
          <w:sz w:val="14"/>
          <w:szCs w:val="14"/>
        </w:rPr>
        <w:t>.</w:t>
      </w:r>
    </w:p>
  </w:footnote>
  <w:footnote w:id="6">
    <w:p w:rsidR="00892567" w:rsidRPr="00804D15" w:rsidRDefault="00997513" w:rsidP="00804D15">
      <w:pPr>
        <w:pStyle w:val="Textodenotaderodap"/>
        <w:tabs>
          <w:tab w:val="left" w:pos="284"/>
        </w:tabs>
        <w:jc w:val="both"/>
        <w:rPr>
          <w:sz w:val="14"/>
          <w:szCs w:val="14"/>
        </w:rPr>
      </w:pPr>
      <w:r w:rsidRPr="00804D15">
        <w:rPr>
          <w:rStyle w:val="Caracteresdenotaderodap"/>
          <w:rFonts w:ascii="Times New Roman" w:hAnsi="Times New Roman" w:cs="Times New Roman"/>
          <w:sz w:val="14"/>
          <w:szCs w:val="14"/>
        </w:rPr>
        <w:footnoteRef/>
      </w:r>
      <w:r w:rsidRPr="00804D15">
        <w:rPr>
          <w:rStyle w:val="FootnoteCharacters"/>
          <w:rFonts w:ascii="Times New Roman" w:hAnsi="Times New Roman" w:cs="Times New Roman"/>
          <w:b/>
          <w:sz w:val="14"/>
          <w:szCs w:val="14"/>
        </w:rPr>
        <w:tab/>
      </w:r>
      <w:r w:rsidRPr="00804D15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804D15">
        <w:rPr>
          <w:rFonts w:ascii="Times New Roman" w:hAnsi="Times New Roman" w:cs="Times New Roman"/>
          <w:sz w:val="14"/>
          <w:szCs w:val="14"/>
        </w:rPr>
        <w:t>Contar ainda (quando for o caso) o Edital ou convite e respectivos anexos, Comprovante das publicações do edital resumido ou a entrega do convite; ato de designação da comissão de licitação, do leiloeiro administrativo ou oficial, ou do responsável pelo convite; cópia das propostas e dos demais documentos.</w:t>
      </w:r>
    </w:p>
  </w:footnote>
  <w:footnote w:id="7">
    <w:p w:rsidR="00892567" w:rsidRPr="00974E7A" w:rsidRDefault="00997513" w:rsidP="00804D15">
      <w:pPr>
        <w:pStyle w:val="Textodenotaderodap"/>
        <w:tabs>
          <w:tab w:val="left" w:pos="284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804D15">
        <w:rPr>
          <w:rStyle w:val="Caracteresdenotaderodap"/>
          <w:rFonts w:ascii="Times New Roman" w:hAnsi="Times New Roman" w:cs="Times New Roman"/>
          <w:sz w:val="14"/>
          <w:szCs w:val="14"/>
        </w:rPr>
        <w:footnoteRef/>
      </w:r>
      <w:r w:rsidRPr="00804D15">
        <w:rPr>
          <w:rStyle w:val="FootnoteCharacters"/>
          <w:rFonts w:ascii="Times New Roman" w:hAnsi="Times New Roman" w:cs="Times New Roman"/>
          <w:b/>
          <w:sz w:val="14"/>
          <w:szCs w:val="14"/>
        </w:rPr>
        <w:tab/>
      </w:r>
      <w:r w:rsidRPr="00804D15">
        <w:rPr>
          <w:rFonts w:ascii="Times New Roman" w:hAnsi="Times New Roman" w:cs="Times New Roman"/>
          <w:sz w:val="14"/>
          <w:szCs w:val="14"/>
        </w:rPr>
        <w:t xml:space="preserve"> As ocorrências encontradas de ordem técnica</w:t>
      </w:r>
      <w:proofErr w:type="gramStart"/>
      <w:r w:rsidRPr="00804D15">
        <w:rPr>
          <w:rFonts w:ascii="Times New Roman" w:hAnsi="Times New Roman" w:cs="Times New Roman"/>
          <w:sz w:val="14"/>
          <w:szCs w:val="14"/>
        </w:rPr>
        <w:t>, concederá</w:t>
      </w:r>
      <w:proofErr w:type="gramEnd"/>
      <w:r w:rsidRPr="00804D15">
        <w:rPr>
          <w:rFonts w:ascii="Times New Roman" w:hAnsi="Times New Roman" w:cs="Times New Roman"/>
          <w:sz w:val="14"/>
          <w:szCs w:val="14"/>
        </w:rPr>
        <w:t xml:space="preserve"> ao convenente prazos para que ele possa apresentar seus esclarecimentos serão fixados 30 (trinta) dias para sanear ou apresentar informações, o concedente terá 15 (quinze) dias para apreciar, decidir e comunicar quanto à aceitação ou não das justificativas apresentadas, caso não acatadas essas justificativas, o convenente terá o prazo de 30 (trinta)dias para regularizar a pendência.</w:t>
      </w:r>
      <w:r w:rsidRPr="00974E7A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8">
    <w:p w:rsidR="00892567" w:rsidRPr="00804D15" w:rsidRDefault="00997513" w:rsidP="00804D15">
      <w:pPr>
        <w:pStyle w:val="Textodenotaderodap"/>
        <w:tabs>
          <w:tab w:val="left" w:pos="284"/>
        </w:tabs>
        <w:jc w:val="both"/>
        <w:rPr>
          <w:sz w:val="14"/>
          <w:szCs w:val="14"/>
        </w:rPr>
      </w:pPr>
      <w:r w:rsidRPr="00804D15">
        <w:rPr>
          <w:rStyle w:val="Caracteresdenotaderodap"/>
          <w:rFonts w:ascii="Times New Roman" w:hAnsi="Times New Roman" w:cs="Times New Roman"/>
          <w:sz w:val="14"/>
          <w:szCs w:val="14"/>
        </w:rPr>
        <w:footnoteRef/>
      </w:r>
      <w:r w:rsidRPr="00804D15">
        <w:rPr>
          <w:rFonts w:ascii="Times New Roman" w:hAnsi="Times New Roman" w:cs="Times New Roman"/>
          <w:b/>
          <w:sz w:val="14"/>
          <w:szCs w:val="14"/>
          <w:vertAlign w:val="superscript"/>
        </w:rPr>
        <w:tab/>
        <w:t xml:space="preserve"> </w:t>
      </w:r>
      <w:r w:rsidRPr="00804D15">
        <w:rPr>
          <w:rFonts w:ascii="Times New Roman" w:hAnsi="Times New Roman" w:cs="Times New Roman"/>
          <w:sz w:val="14"/>
          <w:szCs w:val="14"/>
        </w:rPr>
        <w:t xml:space="preserve">A análise da Prestação de contas </w:t>
      </w:r>
      <w:proofErr w:type="gramStart"/>
      <w:r w:rsidRPr="00804D15">
        <w:rPr>
          <w:rFonts w:ascii="Times New Roman" w:hAnsi="Times New Roman" w:cs="Times New Roman"/>
          <w:sz w:val="14"/>
          <w:szCs w:val="14"/>
        </w:rPr>
        <w:t>pelo concedente</w:t>
      </w:r>
      <w:proofErr w:type="gramEnd"/>
      <w:r w:rsidRPr="00804D15">
        <w:rPr>
          <w:rFonts w:ascii="Times New Roman" w:hAnsi="Times New Roman" w:cs="Times New Roman"/>
          <w:sz w:val="14"/>
          <w:szCs w:val="14"/>
        </w:rPr>
        <w:t xml:space="preserve"> resultará: </w:t>
      </w:r>
      <w:r w:rsidRPr="00804D15">
        <w:rPr>
          <w:rFonts w:ascii="Times New Roman" w:hAnsi="Times New Roman" w:cs="Times New Roman"/>
          <w:sz w:val="14"/>
          <w:szCs w:val="14"/>
          <w:u w:val="single"/>
        </w:rPr>
        <w:t>Aprovada</w:t>
      </w:r>
      <w:r w:rsidRPr="00804D15">
        <w:rPr>
          <w:rFonts w:ascii="Times New Roman" w:hAnsi="Times New Roman" w:cs="Times New Roman"/>
          <w:sz w:val="14"/>
          <w:szCs w:val="14"/>
        </w:rPr>
        <w:t xml:space="preserve"> – baixa contábil; </w:t>
      </w:r>
      <w:r w:rsidRPr="00804D15">
        <w:rPr>
          <w:rFonts w:ascii="Times New Roman" w:hAnsi="Times New Roman" w:cs="Times New Roman"/>
          <w:sz w:val="14"/>
          <w:szCs w:val="14"/>
          <w:u w:val="single"/>
        </w:rPr>
        <w:t>Aprovada com Ressalvas</w:t>
      </w:r>
      <w:r w:rsidRPr="00804D15">
        <w:rPr>
          <w:rFonts w:ascii="Times New Roman" w:hAnsi="Times New Roman" w:cs="Times New Roman"/>
          <w:sz w:val="14"/>
          <w:szCs w:val="14"/>
        </w:rPr>
        <w:t xml:space="preserve"> – evidencia impropriedade ou outra falta de natureza formal de que não resulte dano ao erário, e baixa contábil; e </w:t>
      </w:r>
      <w:r w:rsidRPr="00804D15">
        <w:rPr>
          <w:rFonts w:ascii="Times New Roman" w:hAnsi="Times New Roman" w:cs="Times New Roman"/>
          <w:sz w:val="14"/>
          <w:szCs w:val="14"/>
          <w:u w:val="single"/>
        </w:rPr>
        <w:t>Rejeitada</w:t>
      </w:r>
      <w:r w:rsidRPr="00804D15">
        <w:rPr>
          <w:rFonts w:ascii="Times New Roman" w:hAnsi="Times New Roman" w:cs="Times New Roman"/>
          <w:sz w:val="14"/>
          <w:szCs w:val="14"/>
        </w:rPr>
        <w:t xml:space="preserve"> – determina imediata instauração de Tomada de Contas Especial quando resulte dano ao erário.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43" w:type="dxa"/>
      <w:tblInd w:w="-63" w:type="dxa"/>
      <w:tblLook w:val="04A0"/>
    </w:tblPr>
    <w:tblGrid>
      <w:gridCol w:w="5436"/>
      <w:gridCol w:w="3807"/>
    </w:tblGrid>
    <w:tr w:rsidR="00892567" w:rsidTr="00A32507">
      <w:trPr>
        <w:trHeight w:val="993"/>
      </w:trPr>
      <w:tc>
        <w:tcPr>
          <w:tcW w:w="5436" w:type="dxa"/>
          <w:shd w:val="clear" w:color="auto" w:fill="auto"/>
        </w:tcPr>
        <w:p w:rsidR="00892567" w:rsidRDefault="00997513">
          <w:pPr>
            <w:pStyle w:val="Cabealho"/>
            <w:jc w:val="both"/>
          </w:pPr>
          <w:r>
            <w:rPr>
              <w:noProof/>
              <w:lang w:eastAsia="pt-BR"/>
            </w:rPr>
            <w:drawing>
              <wp:inline distT="0" distB="9525" distL="0" distR="0">
                <wp:extent cx="3314700" cy="714375"/>
                <wp:effectExtent l="0" t="0" r="0" b="0"/>
                <wp:docPr id="1" name="Imagem 2" descr="NOVA LOGO CGE 2019 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NOVA LOGO CGE 2019 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4700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7" w:type="dxa"/>
          <w:shd w:val="clear" w:color="auto" w:fill="auto"/>
        </w:tcPr>
        <w:p w:rsidR="00892567" w:rsidRPr="00490E00" w:rsidRDefault="00997513" w:rsidP="00A32507">
          <w:pPr>
            <w:pStyle w:val="Cabealho"/>
            <w:ind w:right="-250"/>
          </w:pPr>
          <w:r w:rsidRPr="00490E00">
            <w:rPr>
              <w:rFonts w:eastAsia="Times New Roman" w:cs="Arial"/>
              <w:bCs/>
              <w:color w:val="0F243E" w:themeColor="text2" w:themeShade="80"/>
              <w:sz w:val="18"/>
              <w:szCs w:val="18"/>
              <w:lang w:eastAsia="pt-BR"/>
            </w:rPr>
            <w:t>Praça dos Girassóis, Esplanada das Secretarias. S/N</w:t>
          </w:r>
          <w:r w:rsidRPr="00490E00">
            <w:rPr>
              <w:color w:val="0F243E" w:themeColor="text2" w:themeShade="80"/>
              <w:sz w:val="18"/>
              <w:szCs w:val="18"/>
            </w:rPr>
            <w:t xml:space="preserve"> </w:t>
          </w:r>
        </w:p>
        <w:p w:rsidR="00892567" w:rsidRPr="00490E00" w:rsidRDefault="00997513" w:rsidP="00343B3F">
          <w:pPr>
            <w:pStyle w:val="Cabealho"/>
          </w:pPr>
          <w:r w:rsidRPr="00490E00">
            <w:rPr>
              <w:color w:val="0F243E" w:themeColor="text2" w:themeShade="80"/>
              <w:sz w:val="18"/>
            </w:rPr>
            <w:t>Av. NS-02, Prédio I, s/nº. Plano Diretor Norte</w:t>
          </w:r>
        </w:p>
        <w:p w:rsidR="00892567" w:rsidRPr="00490E00" w:rsidRDefault="00997513" w:rsidP="00343B3F">
          <w:pPr>
            <w:pStyle w:val="Cabealho"/>
          </w:pPr>
          <w:r w:rsidRPr="00490E00">
            <w:rPr>
              <w:color w:val="0F243E" w:themeColor="text2" w:themeShade="80"/>
              <w:sz w:val="18"/>
              <w:szCs w:val="18"/>
            </w:rPr>
            <w:t>Palmas – Tocantins – CEP: 77.001-002</w:t>
          </w:r>
        </w:p>
        <w:p w:rsidR="00892567" w:rsidRDefault="00997513" w:rsidP="00343B3F">
          <w:pPr>
            <w:pStyle w:val="Cabealho"/>
          </w:pPr>
          <w:proofErr w:type="spellStart"/>
          <w:r w:rsidRPr="00490E00">
            <w:rPr>
              <w:color w:val="0F243E" w:themeColor="text2" w:themeShade="80"/>
              <w:sz w:val="18"/>
              <w:szCs w:val="18"/>
            </w:rPr>
            <w:t>Tel</w:t>
          </w:r>
          <w:proofErr w:type="spellEnd"/>
          <w:r w:rsidRPr="00490E00">
            <w:rPr>
              <w:color w:val="0F243E" w:themeColor="text2" w:themeShade="80"/>
              <w:sz w:val="18"/>
              <w:szCs w:val="18"/>
            </w:rPr>
            <w:t>: +55 63 3218-2563</w:t>
          </w:r>
          <w:r w:rsidRPr="00490E00">
            <w:rPr>
              <w:color w:val="0F243E" w:themeColor="text2" w:themeShade="80"/>
              <w:sz w:val="18"/>
              <w:szCs w:val="18"/>
            </w:rPr>
            <w:br/>
            <w:t>www.cge.to.gov.br</w:t>
          </w:r>
        </w:p>
      </w:tc>
    </w:tr>
  </w:tbl>
  <w:p w:rsidR="00892567" w:rsidRDefault="00892567" w:rsidP="00343B3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6A2"/>
    <w:multiLevelType w:val="multilevel"/>
    <w:tmpl w:val="8A845C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D255DC9"/>
    <w:multiLevelType w:val="multilevel"/>
    <w:tmpl w:val="63262BA0"/>
    <w:lvl w:ilvl="0">
      <w:start w:val="1"/>
      <w:numFmt w:val="lowerLetter"/>
      <w:lvlText w:val="%1)"/>
      <w:lvlJc w:val="left"/>
      <w:pPr>
        <w:ind w:left="405" w:hanging="360"/>
      </w:pPr>
      <w:rPr>
        <w:b/>
        <w:sz w:val="18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E327800"/>
    <w:multiLevelType w:val="multilevel"/>
    <w:tmpl w:val="EC26F8B0"/>
    <w:lvl w:ilvl="0">
      <w:start w:val="1"/>
      <w:numFmt w:val="decimal"/>
      <w:lvlText w:val="%1."/>
      <w:lvlJc w:val="left"/>
      <w:pPr>
        <w:ind w:left="1353" w:hanging="360"/>
      </w:pPr>
      <w:rPr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567"/>
    <w:rsid w:val="000558B4"/>
    <w:rsid w:val="002B11D1"/>
    <w:rsid w:val="00343B3F"/>
    <w:rsid w:val="00375565"/>
    <w:rsid w:val="00415106"/>
    <w:rsid w:val="00490E00"/>
    <w:rsid w:val="00510F9C"/>
    <w:rsid w:val="00576191"/>
    <w:rsid w:val="00804D15"/>
    <w:rsid w:val="008138BB"/>
    <w:rsid w:val="00892567"/>
    <w:rsid w:val="008A74D5"/>
    <w:rsid w:val="00974E7A"/>
    <w:rsid w:val="00997513"/>
    <w:rsid w:val="00A32507"/>
    <w:rsid w:val="00B54C0B"/>
    <w:rsid w:val="00BB16AF"/>
    <w:rsid w:val="00C93599"/>
    <w:rsid w:val="00CA00B9"/>
    <w:rsid w:val="00D7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4D5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015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500C7"/>
  </w:style>
  <w:style w:type="character" w:customStyle="1" w:styleId="RodapChar">
    <w:name w:val="Rodapé Char"/>
    <w:basedOn w:val="Fontepargpadro"/>
    <w:link w:val="Rodap"/>
    <w:uiPriority w:val="99"/>
    <w:qFormat/>
    <w:rsid w:val="00F500C7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751B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rsid w:val="00872E13"/>
    <w:rPr>
      <w:color w:val="0000FF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8E4E65"/>
    <w:rPr>
      <w:sz w:val="20"/>
      <w:szCs w:val="20"/>
    </w:rPr>
  </w:style>
  <w:style w:type="character" w:customStyle="1" w:styleId="ncoradanotaderodap">
    <w:name w:val="Âncora da nota de rodapé"/>
    <w:rsid w:val="008A74D5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8E4E65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qFormat/>
    <w:rsid w:val="000015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stLabel1">
    <w:name w:val="ListLabel 1"/>
    <w:qFormat/>
    <w:rsid w:val="008A74D5"/>
    <w:rPr>
      <w:rFonts w:eastAsia="Arial"/>
    </w:rPr>
  </w:style>
  <w:style w:type="character" w:customStyle="1" w:styleId="ListLabel2">
    <w:name w:val="ListLabel 2"/>
    <w:qFormat/>
    <w:rsid w:val="008A74D5"/>
    <w:rPr>
      <w:rFonts w:eastAsia="Arial"/>
    </w:rPr>
  </w:style>
  <w:style w:type="character" w:customStyle="1" w:styleId="ListLabel3">
    <w:name w:val="ListLabel 3"/>
    <w:qFormat/>
    <w:rsid w:val="008A74D5"/>
    <w:rPr>
      <w:b/>
      <w:color w:val="auto"/>
      <w:sz w:val="18"/>
      <w:szCs w:val="18"/>
    </w:rPr>
  </w:style>
  <w:style w:type="character" w:customStyle="1" w:styleId="ListLabel4">
    <w:name w:val="ListLabel 4"/>
    <w:qFormat/>
    <w:rsid w:val="008A74D5"/>
    <w:rPr>
      <w:rFonts w:eastAsia="Arial"/>
      <w:b/>
    </w:rPr>
  </w:style>
  <w:style w:type="character" w:customStyle="1" w:styleId="ListLabel5">
    <w:name w:val="ListLabel 5"/>
    <w:qFormat/>
    <w:rsid w:val="008A74D5"/>
    <w:rPr>
      <w:b/>
      <w:color w:val="auto"/>
    </w:rPr>
  </w:style>
  <w:style w:type="character" w:customStyle="1" w:styleId="ListLabel6">
    <w:name w:val="ListLabel 6"/>
    <w:qFormat/>
    <w:rsid w:val="008A74D5"/>
    <w:rPr>
      <w:b/>
      <w:color w:val="auto"/>
      <w:sz w:val="24"/>
    </w:rPr>
  </w:style>
  <w:style w:type="character" w:customStyle="1" w:styleId="ListLabel7">
    <w:name w:val="ListLabel 7"/>
    <w:qFormat/>
    <w:rsid w:val="008A74D5"/>
    <w:rPr>
      <w:b/>
      <w:sz w:val="18"/>
    </w:rPr>
  </w:style>
  <w:style w:type="character" w:customStyle="1" w:styleId="ListLabel8">
    <w:name w:val="ListLabel 8"/>
    <w:qFormat/>
    <w:rsid w:val="008A74D5"/>
    <w:rPr>
      <w:b/>
      <w:i w:val="0"/>
      <w:color w:val="auto"/>
      <w:sz w:val="20"/>
      <w:szCs w:val="20"/>
    </w:rPr>
  </w:style>
  <w:style w:type="character" w:customStyle="1" w:styleId="ListLabel9">
    <w:name w:val="ListLabel 9"/>
    <w:qFormat/>
    <w:rsid w:val="008A74D5"/>
    <w:rPr>
      <w:b/>
      <w:color w:val="auto"/>
      <w:sz w:val="20"/>
      <w:szCs w:val="20"/>
    </w:rPr>
  </w:style>
  <w:style w:type="character" w:customStyle="1" w:styleId="ListLabel10">
    <w:name w:val="ListLabel 10"/>
    <w:qFormat/>
    <w:rsid w:val="008A74D5"/>
    <w:rPr>
      <w:rFonts w:eastAsia="Arial" w:cs="Arial"/>
      <w:color w:val="auto"/>
      <w:sz w:val="18"/>
      <w:szCs w:val="18"/>
    </w:rPr>
  </w:style>
  <w:style w:type="character" w:customStyle="1" w:styleId="ListLabel11">
    <w:name w:val="ListLabel 11"/>
    <w:qFormat/>
    <w:rsid w:val="008A74D5"/>
    <w:rPr>
      <w:rFonts w:ascii="Gotham Medium" w:hAnsi="Gotham Medium"/>
      <w:sz w:val="16"/>
      <w:szCs w:val="16"/>
    </w:rPr>
  </w:style>
  <w:style w:type="character" w:customStyle="1" w:styleId="Caracteresdenotaderodap">
    <w:name w:val="Caracteres de nota de rodapé"/>
    <w:qFormat/>
    <w:rsid w:val="008A74D5"/>
  </w:style>
  <w:style w:type="character" w:customStyle="1" w:styleId="ncoradanotadefim">
    <w:name w:val="Âncora da nota de fim"/>
    <w:rsid w:val="008A74D5"/>
    <w:rPr>
      <w:vertAlign w:val="superscript"/>
    </w:rPr>
  </w:style>
  <w:style w:type="character" w:customStyle="1" w:styleId="Caracteresdenotadefim">
    <w:name w:val="Caracteres de nota de fim"/>
    <w:qFormat/>
    <w:rsid w:val="008A74D5"/>
  </w:style>
  <w:style w:type="paragraph" w:styleId="Ttulo">
    <w:name w:val="Title"/>
    <w:basedOn w:val="Normal"/>
    <w:next w:val="Corpodetexto"/>
    <w:qFormat/>
    <w:rsid w:val="008A74D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rsid w:val="008A74D5"/>
    <w:pPr>
      <w:spacing w:after="140"/>
    </w:pPr>
  </w:style>
  <w:style w:type="paragraph" w:styleId="Lista">
    <w:name w:val="List"/>
    <w:basedOn w:val="Corpodetexto"/>
    <w:rsid w:val="008A74D5"/>
    <w:rPr>
      <w:rFonts w:ascii="Times New Roman" w:hAnsi="Times New Roman" w:cs="Lohit Devanagari"/>
    </w:rPr>
  </w:style>
  <w:style w:type="paragraph" w:styleId="Legenda">
    <w:name w:val="caption"/>
    <w:basedOn w:val="Normal"/>
    <w:qFormat/>
    <w:rsid w:val="008A74D5"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8A74D5"/>
    <w:pPr>
      <w:suppressLineNumbers/>
    </w:pPr>
    <w:rPr>
      <w:rFonts w:ascii="Times New Roman" w:hAnsi="Times New Roman" w:cs="Lohit Devanagari"/>
    </w:rPr>
  </w:style>
  <w:style w:type="paragraph" w:styleId="Cabealho">
    <w:name w:val="header"/>
    <w:basedOn w:val="Normal"/>
    <w:link w:val="CabealhoChar"/>
    <w:uiPriority w:val="99"/>
    <w:unhideWhenUsed/>
    <w:rsid w:val="00F500C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500C7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751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C27CC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E4E65"/>
    <w:pPr>
      <w:spacing w:after="0" w:line="240" w:lineRule="auto"/>
    </w:pPr>
    <w:rPr>
      <w:sz w:val="20"/>
      <w:szCs w:val="20"/>
    </w:rPr>
  </w:style>
  <w:style w:type="paragraph" w:customStyle="1" w:styleId="padro">
    <w:name w:val="padro"/>
    <w:basedOn w:val="Normal"/>
    <w:qFormat/>
    <w:rsid w:val="00B74CC8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9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138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tao.cge.to.gov.br/convenios/apl_Log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E5059-7CC7-4429-B0BD-7C8289AE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3560</TotalTime>
  <Pages>4</Pages>
  <Words>1827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AKELINE FREITAS NEVES</dc:creator>
  <cp:lastModifiedBy>Adelvy</cp:lastModifiedBy>
  <cp:revision>31</cp:revision>
  <cp:lastPrinted>2019-09-12T19:33:00Z</cp:lastPrinted>
  <dcterms:created xsi:type="dcterms:W3CDTF">2017-06-01T20:38:00Z</dcterms:created>
  <dcterms:modified xsi:type="dcterms:W3CDTF">2020-04-02T17:38:00Z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