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65" w:rsidRDefault="009721C2" w:rsidP="00FF33F7">
      <w:pPr>
        <w:spacing w:line="36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CHECKLIST</w:t>
      </w:r>
    </w:p>
    <w:p w:rsidR="00F85265" w:rsidRDefault="00F85265" w:rsidP="00FF33F7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F85265" w:rsidRDefault="009721C2" w:rsidP="00FF33F7">
      <w:pPr>
        <w:spacing w:line="36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Reconhecimento de Dívida do Exercício Anterior</w:t>
      </w:r>
    </w:p>
    <w:p w:rsidR="00F85265" w:rsidRDefault="00F85265" w:rsidP="00FF33F7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85265" w:rsidRDefault="009721C2" w:rsidP="00FF33F7">
      <w:pPr>
        <w:spacing w:line="36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Órgão/Entidade: _____________________________________________________________________________</w:t>
      </w:r>
    </w:p>
    <w:p w:rsidR="00F85265" w:rsidRDefault="009721C2" w:rsidP="00FF33F7">
      <w:pPr>
        <w:spacing w:line="36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Processo nº: ________________________________________________________________________________</w:t>
      </w:r>
    </w:p>
    <w:p w:rsidR="00F85265" w:rsidRDefault="00F85265" w:rsidP="00FF33F7">
      <w:pPr>
        <w:spacing w:line="36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p w:rsidR="00F85265" w:rsidRDefault="009721C2" w:rsidP="00FF33F7">
      <w:pPr>
        <w:spacing w:line="360" w:lineRule="auto"/>
        <w:ind w:left="0" w:right="4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LEI FEDERAL nº 4.320/64, art. 37 </w:t>
      </w:r>
      <w:r>
        <w:rPr>
          <w:rFonts w:ascii="Times New Roman" w:eastAsia="Times New Roman" w:hAnsi="Times New Roman" w:cs="Times New Roman"/>
          <w:sz w:val="18"/>
          <w:szCs w:val="18"/>
        </w:rPr>
        <w:t>- As despesas de exercícios encerrados, para as quais o orçamento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respectivo consignava crédito próprio, com saldo suficiente para atendê-las, que não se tenham processado na época própria, bem como os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restos a pagar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com prescrição interrompida e os compromissos reconhecidos após o encerramento do exercício correspondente poderão ser pagos á conta de dotação específica consignada no orçamento, discriminada por elementos, obedecida, sempre que possível, a ordem cronológica.</w:t>
      </w:r>
    </w:p>
    <w:p w:rsidR="00F85265" w:rsidRDefault="00F85265" w:rsidP="00FF33F7">
      <w:pPr>
        <w:spacing w:line="360" w:lineRule="auto"/>
        <w:ind w:left="0" w:right="4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85265" w:rsidRDefault="009721C2" w:rsidP="00FF33F7">
      <w:pPr>
        <w:ind w:left="0" w:right="-1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Style w:val="a"/>
        <w:tblW w:w="921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581"/>
        <w:gridCol w:w="1834"/>
        <w:gridCol w:w="992"/>
        <w:gridCol w:w="804"/>
      </w:tblGrid>
      <w:tr w:rsidR="00F85265">
        <w:trPr>
          <w:trHeight w:val="273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F85265" w:rsidRDefault="009721C2" w:rsidP="00FF33F7">
            <w:pPr>
              <w:spacing w:line="276" w:lineRule="auto"/>
              <w:ind w:left="0" w:right="73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Exigência para Formalização de Procedimentos para Reconhecimento de Dívida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F85265" w:rsidRDefault="009721C2" w:rsidP="00FF33F7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F85265" w:rsidRDefault="009721C2" w:rsidP="00FF33F7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85265" w:rsidRDefault="009721C2" w:rsidP="00FF33F7">
            <w:pPr>
              <w:spacing w:line="360" w:lineRule="auto"/>
              <w:ind w:left="0" w:right="-41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processo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foi devidamente autuado, protocolado e com numeração de folhas, constando carimbo do órgão e visto do responsável? E se houve apensamento de um novo volume, obedeceu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quantidade máxima de folhas, mediante termo de encerramento e de abertura? (Art. 38,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caput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 Lei nº 8.666/93 e art. 47, do Decreto de execução orçamentário-financeiro nº 6.046/2020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empenho prévio à realização da despesa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 conformidade a Lei Federal nº 4.320/64 do Art. 37?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Existe Saldo do Empenho inscrito em Restos a Pagar (Processado ou Não Processado) no SIAFE-TO?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Há contrato (para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serviços contínuos é obrigatório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)? Observar a sua vigência.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manifestação da liberação da despesa pelo Grupo Executivo para Gestão e Equilíbrio do Gasto Público? (Art. 2º, § único do Decreto Estadual nº 5.842/18; art. 24, inc. IV do Decreto execução orçamentário-financeiro nº 6.046/2020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Existe reserva orçamentária DD (Detalhamento de Dotação) e NE (nota de empenho) no programa que originou a despesa e no elemento de reconhecimento de dívida (33.90.92/44.90.92). No caso de Programa extinto elaborar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Nota de Esclarecimento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informando qual Programa atual absorveu o anterior.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Declaração do Ordenador de Despesa em cumprimento ao art.16, inciso II, da LRF?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Consta, em caso de processo de reconhecimento de dívida sem o segmento correto e legal do rito processual ordinário, o requerimento efetuado pelo fornecedor ou prestador do serviço, o qual solicita o reconhecimento e posterior pagamento da dívida?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fornecedor/prestador do serviço emitiu declaração de que o crédito objeto do pedido não se encontra em demanda judicial?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Em caso de a dívida ter ocorrido sem o correto e legal rito processual ordinário, em discordância ao Decreto Federal nº 93.872/86 no art. 24 c/c a Lei Federa nº 4.320/64 no art. 60, consta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justificativa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devidamente assinada pelo responsável do setor, pelo seu superior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hierárquico e, também, Ordenador de Despesa, justificando a motivação de a mesma ter ocorrido fora do rito processual correto?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Notas fiscais no valor do reconhecimento da dívida estão atestadas por servidor competente, com especificação da data de entrega ou prestação do serviço e os dados do servidor responsável pelo recebimento (nome, assinatura ou rubrica, a função ou cargo que ocupa)?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Termo de Reconhecimento da Dívida fundamentado na lei e devidamente assinado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pela autoridade competente, no processo que originou a despesa? </w:t>
            </w:r>
            <w:r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art. 20 do Decreto de execução orçamentário-financeiro nº 6.046/2020)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 caso de despesas com Manutenção Preventiva e Corretiva de todo e qualquer bem, a despesa a ser reconhecida está nas condições contratadas, em observância as cláusulas contratuais?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Nota Fiscal de Peças (acompanhada do orçamento prévio devidamente autorizado), Nota Fiscal de Serviço (acompanhado do relatório de serviço emitido pelo contratante e fiscal de contrato conforme art. 67, parágrafo 1º e 2º, da LLCA c/c art. 63, § 1º, incisos I, II, III e § 2º, inciso III da Lei Federal nº 4.320/64) e outros.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no processo o Termo de Recebimento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provisório ou definitivo)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em caso 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Obras ou Serviços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(art.73, I, “a” e “b” LLCA), onde os faturamentos deverão contemplar as medições constantes no cronograma físico-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financeiro de obras em andamento e concluídas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Constam certidões de regularidade fiscal da empresa credora, conforme art. 29, da LLCA?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 apresentação das certidões de regularidades, verificar a autenticidade fazendo busca nos respectivos sites.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cotação de preço de mercado, em caso da dívida ter ocorrido sem o correto rito processual de acordo com a LLCA, art. 15, §1º c/c art. 26, III?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Solicitação de Compras, com todos os campos preenchidos e devidamente autorizada pelos responsáveis? (art. 24, inc. II e art. 59, inc. II do Decreto execução orçamentário-financeiro nº 6.046/2020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 caso em que a despesa ocorreu sem o correto rito para abertura de processo administrativo (Prévio Empenho, Licitação,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Dispensa,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Inexigibilidade, Termo de Contrato). Consta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nos autos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Parecer da Assessoria Jurídica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quanto 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legalidade dos atos e devidas recomendações para apuração da responsabilidade?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autorização de pagamento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devidamente preenchida e assinada pela autoridade competente? (art. 59, inc. III e Art. 25, inc. I ––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Anexo III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 Decreto de execução orçamentário-financeiro nº 6.046/2020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rPr>
          <w:trHeight w:val="357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9721C2" w:rsidP="00FF33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Quando for o caso de reconhecer a dívida, cuja despesa tenha ocorrido sem o prévio empenho e licitação, conforme o ordenamento constitutivo do país, art. 37, XXI, CF/88,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deve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 Gestor do Órgão, após pagamento indenizatório, abrir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Processo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Disciplinar Administrativo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fim de apurar 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responsabilidade do servidor que causou o dano financeiro e/ou de legalidade ao Erário Estadual, de acordo com o art. 89, da Lei nº 8.666/93. Nesse caso, consta informação de abertura do referido Processo Disciplinar Administrativo? Informar o número do mesmo.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85265" w:rsidRDefault="009721C2" w:rsidP="00FF33F7">
      <w:pPr>
        <w:spacing w:line="360" w:lineRule="auto"/>
        <w:ind w:left="0" w:right="-1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Apontamentos:</w:t>
      </w:r>
    </w:p>
    <w:tbl>
      <w:tblPr>
        <w:tblStyle w:val="a0"/>
        <w:tblW w:w="928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87"/>
      </w:tblGrid>
      <w:tr w:rsidR="00F85265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1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1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c>
          <w:tcPr>
            <w:tcW w:w="9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1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c>
          <w:tcPr>
            <w:tcW w:w="9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1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c>
          <w:tcPr>
            <w:tcW w:w="9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1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c>
          <w:tcPr>
            <w:tcW w:w="9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1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265">
        <w:tc>
          <w:tcPr>
            <w:tcW w:w="9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65" w:rsidRDefault="00F85265" w:rsidP="00FF33F7">
            <w:pPr>
              <w:spacing w:line="360" w:lineRule="auto"/>
              <w:ind w:left="0" w:right="-1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85265" w:rsidRDefault="00F85265" w:rsidP="00FF33F7">
      <w:pPr>
        <w:spacing w:line="36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p w:rsidR="00F85265" w:rsidRDefault="009721C2" w:rsidP="00F85265">
      <w:pPr>
        <w:spacing w:line="360" w:lineRule="auto"/>
        <w:ind w:left="0" w:right="40" w:hanging="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Assinatura e Matrícula do Servidor</w:t>
      </w:r>
    </w:p>
    <w:sectPr w:rsidR="00F85265">
      <w:headerReference w:type="default" r:id="rId9"/>
      <w:pgSz w:w="11906" w:h="16838"/>
      <w:pgMar w:top="1701" w:right="1134" w:bottom="1134" w:left="1701" w:header="28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D8" w:rsidRDefault="00DB10D8" w:rsidP="00FF33F7">
      <w:pPr>
        <w:spacing w:line="240" w:lineRule="auto"/>
        <w:ind w:left="0" w:hanging="2"/>
      </w:pPr>
      <w:r>
        <w:separator/>
      </w:r>
    </w:p>
  </w:endnote>
  <w:endnote w:type="continuationSeparator" w:id="0">
    <w:p w:rsidR="00DB10D8" w:rsidRDefault="00DB10D8" w:rsidP="00FF33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D8" w:rsidRDefault="00DB10D8" w:rsidP="00FF33F7">
      <w:pPr>
        <w:spacing w:line="240" w:lineRule="auto"/>
        <w:ind w:left="0" w:hanging="2"/>
      </w:pPr>
      <w:r>
        <w:separator/>
      </w:r>
    </w:p>
  </w:footnote>
  <w:footnote w:type="continuationSeparator" w:id="0">
    <w:p w:rsidR="00DB10D8" w:rsidRDefault="00DB10D8" w:rsidP="00FF33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65" w:rsidRDefault="00F85265" w:rsidP="00FF33F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  <w:sz w:val="18"/>
        <w:szCs w:val="18"/>
      </w:rPr>
    </w:pPr>
  </w:p>
  <w:tbl>
    <w:tblPr>
      <w:tblStyle w:val="a1"/>
      <w:tblW w:w="9243" w:type="dxa"/>
      <w:tblInd w:w="-63" w:type="dxa"/>
      <w:tblLayout w:type="fixed"/>
      <w:tblLook w:val="0000" w:firstRow="0" w:lastRow="0" w:firstColumn="0" w:lastColumn="0" w:noHBand="0" w:noVBand="0"/>
    </w:tblPr>
    <w:tblGrid>
      <w:gridCol w:w="5133"/>
      <w:gridCol w:w="4110"/>
    </w:tblGrid>
    <w:tr w:rsidR="00F85265">
      <w:trPr>
        <w:trHeight w:val="1650"/>
      </w:trPr>
      <w:tc>
        <w:tcPr>
          <w:tcW w:w="5133" w:type="dxa"/>
        </w:tcPr>
        <w:p w:rsidR="00F85265" w:rsidRDefault="009721C2" w:rsidP="00FF33F7">
          <w:pPr>
            <w:tabs>
              <w:tab w:val="center" w:pos="4252"/>
              <w:tab w:val="right" w:pos="8504"/>
            </w:tabs>
            <w:ind w:left="0" w:hanging="2"/>
            <w:jc w:val="both"/>
            <w:rPr>
              <w:rFonts w:cs="Calibri"/>
              <w:color w:val="0F243E"/>
              <w:sz w:val="18"/>
              <w:szCs w:val="18"/>
            </w:rPr>
          </w:pPr>
          <w:r>
            <w:rPr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3124200" cy="673100"/>
                <wp:effectExtent l="0" t="0" r="0" b="0"/>
                <wp:docPr id="1026" name="image1.png" descr="NOVA LOGO CGE 2019 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NOVA LOGO CGE 2019 H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673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:rsidR="00F85265" w:rsidRDefault="009721C2" w:rsidP="00FF33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cs="Calibri"/>
              <w:color w:val="000000"/>
            </w:rPr>
          </w:pPr>
          <w:r>
            <w:rPr>
              <w:rFonts w:cs="Calibri"/>
              <w:color w:val="0F243E"/>
              <w:sz w:val="18"/>
              <w:szCs w:val="18"/>
            </w:rPr>
            <w:t xml:space="preserve">Praça dos Girassóis, Esplanada das Secretarias. S/N </w:t>
          </w:r>
        </w:p>
        <w:p w:rsidR="00F85265" w:rsidRDefault="009721C2" w:rsidP="00FF33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cs="Calibri"/>
              <w:color w:val="000000"/>
            </w:rPr>
          </w:pPr>
          <w:r>
            <w:rPr>
              <w:rFonts w:cs="Calibri"/>
              <w:color w:val="0F243E"/>
              <w:sz w:val="18"/>
              <w:szCs w:val="18"/>
            </w:rPr>
            <w:t>Av. NS-02, Prédio I, s/nº. Plano Diretor Norte</w:t>
          </w:r>
        </w:p>
        <w:p w:rsidR="00F85265" w:rsidRDefault="009721C2" w:rsidP="00FF33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cs="Calibri"/>
              <w:color w:val="000000"/>
            </w:rPr>
          </w:pPr>
          <w:r>
            <w:rPr>
              <w:rFonts w:cs="Calibri"/>
              <w:color w:val="0F243E"/>
              <w:sz w:val="18"/>
              <w:szCs w:val="18"/>
            </w:rPr>
            <w:t>Palmas – Tocantins – CEP: 77.001-002</w:t>
          </w:r>
        </w:p>
        <w:p w:rsidR="00F85265" w:rsidRDefault="009721C2" w:rsidP="00FF33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cs="Calibri"/>
              <w:color w:val="000000"/>
            </w:rPr>
          </w:pPr>
          <w:proofErr w:type="spellStart"/>
          <w:r>
            <w:rPr>
              <w:rFonts w:cs="Calibri"/>
              <w:color w:val="0F243E"/>
              <w:sz w:val="18"/>
              <w:szCs w:val="18"/>
            </w:rPr>
            <w:t>Tel</w:t>
          </w:r>
          <w:proofErr w:type="spellEnd"/>
          <w:r>
            <w:rPr>
              <w:rFonts w:cs="Calibri"/>
              <w:color w:val="0F243E"/>
              <w:sz w:val="18"/>
              <w:szCs w:val="18"/>
            </w:rPr>
            <w:t>: +55 63 3218-2563</w:t>
          </w:r>
          <w:r>
            <w:rPr>
              <w:rFonts w:cs="Calibri"/>
              <w:color w:val="0F243E"/>
              <w:sz w:val="18"/>
              <w:szCs w:val="18"/>
            </w:rPr>
            <w:br/>
            <w:t>www.cge.to.gov.br</w:t>
          </w:r>
        </w:p>
      </w:tc>
    </w:tr>
  </w:tbl>
  <w:p w:rsidR="00F85265" w:rsidRDefault="00F85265" w:rsidP="00FF33F7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B5E1F"/>
    <w:multiLevelType w:val="multilevel"/>
    <w:tmpl w:val="49DE1E58"/>
    <w:lvl w:ilvl="0">
      <w:start w:val="1"/>
      <w:numFmt w:val="decimal"/>
      <w:lvlText w:val="%1."/>
      <w:lvlJc w:val="left"/>
      <w:pPr>
        <w:ind w:left="862" w:hanging="360"/>
      </w:pPr>
      <w:rPr>
        <w:b/>
        <w:strike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5265"/>
    <w:rsid w:val="009721C2"/>
    <w:rsid w:val="00AF6A98"/>
    <w:rsid w:val="00DB10D8"/>
    <w:rsid w:val="00F85265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b/>
      <w:strike w:val="0"/>
      <w:dstrike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strike w:val="0"/>
      <w:dstrike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Times New Roman" w:hAnsi="Times New Roman" w:cs="Lohit Devanaga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pPr>
      <w:ind w:left="708" w:firstLine="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b/>
      <w:strike w:val="0"/>
      <w:dstrike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strike w:val="0"/>
      <w:dstrike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Times New Roman" w:hAnsi="Times New Roman" w:cs="Lohit Devanaga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pPr>
      <w:ind w:left="708" w:firstLine="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+4RzeEcEr1RkpYajBKLNDTRE9g==">AMUW2mUqEc2nheDO5/5I6ZXmaHF/57T6kjDMUJzg53QicWBs+IkdardIEnboA5Zq9FYiIAo8wK3JLQlH3pElyX21eInc87TH6YOarB8ZcmENUCjoCOipcwU=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AKELINE FREITAS NEVES</dc:creator>
  <cp:lastModifiedBy>Amanda Felix Ribeiro</cp:lastModifiedBy>
  <cp:revision>4</cp:revision>
  <dcterms:created xsi:type="dcterms:W3CDTF">2021-02-25T13:05:00Z</dcterms:created>
  <dcterms:modified xsi:type="dcterms:W3CDTF">2021-02-25T13:38:00Z</dcterms:modified>
</cp:coreProperties>
</file>