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54" w:rsidRPr="00F90DC5" w:rsidRDefault="00FE1C03">
      <w:pPr>
        <w:spacing w:after="0" w:line="360" w:lineRule="auto"/>
        <w:ind w:left="12"/>
        <w:jc w:val="center"/>
        <w:rPr>
          <w:rFonts w:ascii="Times New Roman" w:hAnsi="Times New Roman" w:cs="Times New Roman"/>
          <w:sz w:val="20"/>
          <w:szCs w:val="20"/>
        </w:rPr>
      </w:pPr>
      <w:r w:rsidRPr="00F90DC5">
        <w:rPr>
          <w:rFonts w:ascii="Times New Roman" w:hAnsi="Times New Roman" w:cs="Times New Roman"/>
          <w:b/>
          <w:sz w:val="20"/>
          <w:szCs w:val="20"/>
        </w:rPr>
        <w:t xml:space="preserve">CHECKLIST </w:t>
      </w:r>
    </w:p>
    <w:p w:rsidR="00356254" w:rsidRPr="00F90DC5" w:rsidRDefault="00356254">
      <w:pPr>
        <w:spacing w:after="0" w:line="360" w:lineRule="auto"/>
        <w:ind w:left="62" w:firstLine="0"/>
        <w:jc w:val="center"/>
        <w:rPr>
          <w:rFonts w:ascii="Times New Roman" w:hAnsi="Times New Roman" w:cs="Times New Roman"/>
          <w:sz w:val="20"/>
          <w:szCs w:val="20"/>
        </w:rPr>
      </w:pPr>
    </w:p>
    <w:p w:rsidR="00356254" w:rsidRPr="00F90DC5" w:rsidRDefault="00FE1C03">
      <w:pPr>
        <w:pStyle w:val="Ttulo1"/>
        <w:spacing w:line="360" w:lineRule="auto"/>
        <w:ind w:left="2" w:right="1" w:firstLine="0"/>
        <w:rPr>
          <w:rFonts w:ascii="Times New Roman" w:hAnsi="Times New Roman" w:cs="Times New Roman"/>
          <w:sz w:val="20"/>
          <w:szCs w:val="20"/>
        </w:rPr>
      </w:pPr>
      <w:r w:rsidRPr="00F90DC5">
        <w:rPr>
          <w:rFonts w:ascii="Times New Roman" w:hAnsi="Times New Roman" w:cs="Times New Roman"/>
          <w:color w:val="auto"/>
          <w:sz w:val="20"/>
          <w:szCs w:val="20"/>
          <w:u w:val="single"/>
        </w:rPr>
        <w:t>Auditoria/Fiscalização</w:t>
      </w:r>
      <w:proofErr w:type="gramStart"/>
      <w:r w:rsidRPr="00F90DC5">
        <w:rPr>
          <w:rFonts w:ascii="Times New Roman" w:hAnsi="Times New Roman" w:cs="Times New Roman"/>
          <w:color w:val="auto"/>
          <w:sz w:val="20"/>
          <w:szCs w:val="20"/>
          <w:u w:val="single"/>
        </w:rPr>
        <w:t xml:space="preserve">  </w:t>
      </w:r>
    </w:p>
    <w:p w:rsidR="00356254" w:rsidRPr="00F90DC5" w:rsidRDefault="00FE1C03">
      <w:pPr>
        <w:pStyle w:val="Ttulo1"/>
        <w:spacing w:line="360" w:lineRule="auto"/>
        <w:ind w:left="2" w:right="1" w:firstLine="0"/>
        <w:rPr>
          <w:rFonts w:ascii="Times New Roman" w:hAnsi="Times New Roman" w:cs="Times New Roman"/>
          <w:color w:val="auto"/>
          <w:sz w:val="20"/>
          <w:szCs w:val="20"/>
          <w:u w:val="single"/>
        </w:rPr>
      </w:pPr>
      <w:proofErr w:type="gramEnd"/>
      <w:r w:rsidRPr="00F90DC5">
        <w:rPr>
          <w:rFonts w:ascii="Times New Roman" w:hAnsi="Times New Roman" w:cs="Times New Roman"/>
          <w:color w:val="auto"/>
          <w:sz w:val="20"/>
          <w:szCs w:val="20"/>
          <w:u w:val="single"/>
        </w:rPr>
        <w:t>Transferência de Recursos</w:t>
      </w:r>
    </w:p>
    <w:p w:rsidR="00356254" w:rsidRPr="00FE1C03" w:rsidRDefault="00356254">
      <w:pPr>
        <w:spacing w:after="0" w:line="360" w:lineRule="auto"/>
        <w:ind w:left="0" w:firstLine="0"/>
        <w:jc w:val="left"/>
        <w:rPr>
          <w:rFonts w:ascii="Times New Roman" w:hAnsi="Times New Roman" w:cs="Times New Roman"/>
          <w:b/>
          <w:color w:val="auto"/>
          <w:sz w:val="18"/>
          <w:szCs w:val="18"/>
        </w:rPr>
      </w:pPr>
    </w:p>
    <w:p w:rsidR="00356254" w:rsidRPr="00FE1C03" w:rsidRDefault="00FE1C03">
      <w:pPr>
        <w:spacing w:after="0" w:line="360" w:lineRule="auto"/>
        <w:ind w:left="0" w:firstLine="0"/>
        <w:jc w:val="left"/>
        <w:rPr>
          <w:rFonts w:ascii="Times New Roman" w:hAnsi="Times New Roman" w:cs="Times New Roman"/>
          <w:sz w:val="18"/>
          <w:szCs w:val="18"/>
        </w:rPr>
      </w:pPr>
      <w:r w:rsidRPr="00FE1C03">
        <w:rPr>
          <w:rFonts w:ascii="Times New Roman" w:hAnsi="Times New Roman" w:cs="Times New Roman"/>
          <w:sz w:val="18"/>
          <w:szCs w:val="18"/>
        </w:rPr>
        <w:t xml:space="preserve"> </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Órgão/Entidade (Concedente): ___________________________________________________</w:t>
      </w:r>
      <w:r w:rsidR="00080FFA">
        <w:rPr>
          <w:rFonts w:ascii="Times New Roman" w:hAnsi="Times New Roman" w:cs="Times New Roman"/>
          <w:sz w:val="18"/>
          <w:szCs w:val="18"/>
        </w:rPr>
        <w:t>__________</w:t>
      </w:r>
      <w:r w:rsidRPr="00FE1C03">
        <w:rPr>
          <w:rFonts w:ascii="Times New Roman" w:hAnsi="Times New Roman" w:cs="Times New Roman"/>
          <w:sz w:val="18"/>
          <w:szCs w:val="18"/>
        </w:rPr>
        <w:t>______________</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Interessado (Convenente): ________________________________________________________________</w:t>
      </w:r>
      <w:r w:rsidR="00080FFA">
        <w:rPr>
          <w:rFonts w:ascii="Times New Roman" w:hAnsi="Times New Roman" w:cs="Times New Roman"/>
          <w:sz w:val="18"/>
          <w:szCs w:val="18"/>
        </w:rPr>
        <w:t>___________</w:t>
      </w:r>
      <w:r w:rsidRPr="00FE1C03">
        <w:rPr>
          <w:rFonts w:ascii="Times New Roman" w:hAnsi="Times New Roman" w:cs="Times New Roman"/>
          <w:sz w:val="18"/>
          <w:szCs w:val="18"/>
        </w:rPr>
        <w:t>____</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 xml:space="preserve">Processo nº: ________________________________________________________________________________ </w:t>
      </w:r>
      <w:r w:rsidR="00080FFA">
        <w:rPr>
          <w:rFonts w:ascii="Times New Roman" w:hAnsi="Times New Roman" w:cs="Times New Roman"/>
          <w:sz w:val="18"/>
          <w:szCs w:val="18"/>
        </w:rPr>
        <w:t>__________</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Convênio nº: ________________________________________________</w:t>
      </w:r>
      <w:r w:rsidR="00080FFA">
        <w:rPr>
          <w:rFonts w:ascii="Times New Roman" w:hAnsi="Times New Roman" w:cs="Times New Roman"/>
          <w:sz w:val="18"/>
          <w:szCs w:val="18"/>
        </w:rPr>
        <w:t>__________________________________________</w:t>
      </w:r>
    </w:p>
    <w:p w:rsidR="00080FFA" w:rsidRDefault="00080FFA">
      <w:pPr>
        <w:spacing w:line="360" w:lineRule="auto"/>
        <w:ind w:left="-5"/>
        <w:rPr>
          <w:rFonts w:ascii="Times New Roman" w:hAnsi="Times New Roman" w:cs="Times New Roman"/>
          <w:b/>
          <w:sz w:val="18"/>
          <w:szCs w:val="18"/>
          <w:u w:val="single" w:color="000000"/>
        </w:rPr>
      </w:pPr>
    </w:p>
    <w:p w:rsidR="00356254" w:rsidRDefault="00FE1C03">
      <w:pPr>
        <w:spacing w:line="360" w:lineRule="auto"/>
        <w:ind w:left="-5"/>
        <w:rPr>
          <w:rFonts w:ascii="Times New Roman" w:hAnsi="Times New Roman" w:cs="Times New Roman"/>
          <w:sz w:val="18"/>
          <w:szCs w:val="18"/>
        </w:rPr>
      </w:pPr>
      <w:r w:rsidRPr="00FE1C03">
        <w:rPr>
          <w:rFonts w:ascii="Times New Roman" w:hAnsi="Times New Roman" w:cs="Times New Roman"/>
          <w:sz w:val="18"/>
          <w:szCs w:val="18"/>
        </w:rPr>
        <w:t xml:space="preserve">Acordo que disciplina a transferência de recursos financeiros entre os entes da Administração Pública </w:t>
      </w:r>
      <w:r w:rsidR="00CE1293">
        <w:rPr>
          <w:rFonts w:ascii="Times New Roman" w:hAnsi="Times New Roman" w:cs="Times New Roman"/>
          <w:sz w:val="18"/>
          <w:szCs w:val="18"/>
        </w:rPr>
        <w:t xml:space="preserve">ou para Entidades sem fins lucrativos </w:t>
      </w:r>
      <w:r w:rsidRPr="00FE1C03">
        <w:rPr>
          <w:rFonts w:ascii="Times New Roman" w:hAnsi="Times New Roman" w:cs="Times New Roman"/>
          <w:sz w:val="18"/>
          <w:szCs w:val="18"/>
        </w:rPr>
        <w:t xml:space="preserve">para a execução descentralizada de programas de governo de interesse recíproco de mútua cooperação, com o fim de demonstrar a correta aplicação dos recursos transferidos, conforme Parágrafo único, do art. 70, da CF/88, </w:t>
      </w:r>
      <w:r w:rsidR="006E5419">
        <w:rPr>
          <w:rFonts w:ascii="Times New Roman" w:hAnsi="Times New Roman" w:cs="Times New Roman"/>
          <w:sz w:val="18"/>
          <w:szCs w:val="18"/>
        </w:rPr>
        <w:t xml:space="preserve">da Lei Federal nº 13.019/2014, dos </w:t>
      </w:r>
      <w:r w:rsidRPr="00FE1C03">
        <w:rPr>
          <w:rFonts w:ascii="Times New Roman" w:hAnsi="Times New Roman" w:cs="Times New Roman"/>
          <w:sz w:val="18"/>
          <w:szCs w:val="18"/>
        </w:rPr>
        <w:t>Decreto</w:t>
      </w:r>
      <w:r w:rsidR="006E5419">
        <w:rPr>
          <w:rFonts w:ascii="Times New Roman" w:hAnsi="Times New Roman" w:cs="Times New Roman"/>
          <w:sz w:val="18"/>
          <w:szCs w:val="18"/>
        </w:rPr>
        <w:t>s</w:t>
      </w:r>
      <w:r w:rsidRPr="00FE1C03">
        <w:rPr>
          <w:rFonts w:ascii="Times New Roman" w:hAnsi="Times New Roman" w:cs="Times New Roman"/>
          <w:sz w:val="18"/>
          <w:szCs w:val="18"/>
        </w:rPr>
        <w:t xml:space="preserve"> Federa</w:t>
      </w:r>
      <w:r w:rsidR="006E5419">
        <w:rPr>
          <w:rFonts w:ascii="Times New Roman" w:hAnsi="Times New Roman" w:cs="Times New Roman"/>
          <w:sz w:val="18"/>
          <w:szCs w:val="18"/>
        </w:rPr>
        <w:t>is</w:t>
      </w:r>
      <w:r w:rsidRPr="00FE1C03">
        <w:rPr>
          <w:rFonts w:ascii="Times New Roman" w:hAnsi="Times New Roman" w:cs="Times New Roman"/>
          <w:sz w:val="18"/>
          <w:szCs w:val="18"/>
        </w:rPr>
        <w:t xml:space="preserve"> nº </w:t>
      </w:r>
      <w:r w:rsidR="006E5419">
        <w:rPr>
          <w:rFonts w:ascii="Times New Roman" w:hAnsi="Times New Roman" w:cs="Times New Roman"/>
          <w:sz w:val="18"/>
          <w:szCs w:val="18"/>
        </w:rPr>
        <w:t xml:space="preserve">8.726/2016 e nº </w:t>
      </w:r>
      <w:r w:rsidR="00B123D7" w:rsidRPr="00FE1C03">
        <w:rPr>
          <w:rFonts w:ascii="Times New Roman" w:hAnsi="Times New Roman" w:cs="Times New Roman"/>
          <w:sz w:val="18"/>
          <w:szCs w:val="18"/>
        </w:rPr>
        <w:t>6.170/</w:t>
      </w:r>
      <w:r w:rsidR="006E5419">
        <w:rPr>
          <w:rFonts w:ascii="Times New Roman" w:hAnsi="Times New Roman" w:cs="Times New Roman"/>
          <w:sz w:val="18"/>
          <w:szCs w:val="18"/>
        </w:rPr>
        <w:t>20</w:t>
      </w:r>
      <w:r w:rsidR="00B123D7" w:rsidRPr="00FE1C03">
        <w:rPr>
          <w:rFonts w:ascii="Times New Roman" w:hAnsi="Times New Roman" w:cs="Times New Roman"/>
          <w:sz w:val="18"/>
          <w:szCs w:val="18"/>
        </w:rPr>
        <w:t>07</w:t>
      </w:r>
      <w:r w:rsidR="006E5419">
        <w:rPr>
          <w:rFonts w:ascii="Times New Roman" w:hAnsi="Times New Roman" w:cs="Times New Roman"/>
          <w:sz w:val="18"/>
          <w:szCs w:val="18"/>
        </w:rPr>
        <w:t xml:space="preserve">; da </w:t>
      </w:r>
      <w:r w:rsidR="00B123D7" w:rsidRPr="00FE1C03">
        <w:rPr>
          <w:rFonts w:ascii="Times New Roman" w:hAnsi="Times New Roman" w:cs="Times New Roman"/>
          <w:sz w:val="18"/>
          <w:szCs w:val="18"/>
        </w:rPr>
        <w:t>Portaria</w:t>
      </w:r>
      <w:r w:rsidRPr="00FE1C03">
        <w:rPr>
          <w:rFonts w:ascii="Times New Roman" w:hAnsi="Times New Roman" w:cs="Times New Roman"/>
          <w:sz w:val="18"/>
          <w:szCs w:val="18"/>
        </w:rPr>
        <w:t xml:space="preserve"> Interministerial nº 424/16 e</w:t>
      </w:r>
      <w:r w:rsidR="006E5419">
        <w:rPr>
          <w:rFonts w:ascii="Times New Roman" w:hAnsi="Times New Roman" w:cs="Times New Roman"/>
          <w:sz w:val="18"/>
          <w:szCs w:val="18"/>
        </w:rPr>
        <w:t xml:space="preserve"> dos</w:t>
      </w:r>
      <w:r w:rsidRPr="00FE1C03">
        <w:rPr>
          <w:rFonts w:ascii="Times New Roman" w:hAnsi="Times New Roman" w:cs="Times New Roman"/>
          <w:sz w:val="18"/>
          <w:szCs w:val="18"/>
        </w:rPr>
        <w:t xml:space="preserve"> Decreto</w:t>
      </w:r>
      <w:r w:rsidR="006E5419">
        <w:rPr>
          <w:rFonts w:ascii="Times New Roman" w:hAnsi="Times New Roman" w:cs="Times New Roman"/>
          <w:sz w:val="18"/>
          <w:szCs w:val="18"/>
        </w:rPr>
        <w:t>s Estaduais nº 5.815/2018 e 5.816/2018</w:t>
      </w:r>
      <w:r w:rsidRPr="00FE1C03">
        <w:rPr>
          <w:rFonts w:ascii="Times New Roman" w:hAnsi="Times New Roman" w:cs="Times New Roman"/>
          <w:sz w:val="18"/>
          <w:szCs w:val="18"/>
        </w:rPr>
        <w:t xml:space="preserve">. </w:t>
      </w:r>
    </w:p>
    <w:tbl>
      <w:tblPr>
        <w:tblStyle w:val="TableGrid"/>
        <w:tblW w:w="9072" w:type="dxa"/>
        <w:tblInd w:w="-2" w:type="dxa"/>
        <w:tblCellMar>
          <w:top w:w="46" w:type="dxa"/>
          <w:left w:w="24" w:type="dxa"/>
          <w:right w:w="47" w:type="dxa"/>
        </w:tblCellMar>
        <w:tblLook w:val="04A0"/>
      </w:tblPr>
      <w:tblGrid>
        <w:gridCol w:w="6784"/>
        <w:gridCol w:w="2288"/>
      </w:tblGrid>
      <w:tr w:rsidR="00356254" w:rsidRPr="00FE1C03" w:rsidTr="006E541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2202" w:rsidRDefault="00FE1C03">
            <w:pPr>
              <w:spacing w:after="0" w:line="276" w:lineRule="auto"/>
              <w:ind w:left="4" w:right="117" w:hanging="2"/>
              <w:jc w:val="center"/>
              <w:rPr>
                <w:rFonts w:ascii="Times New Roman" w:hAnsi="Times New Roman" w:cs="Times New Roman"/>
                <w:b/>
                <w:sz w:val="18"/>
                <w:szCs w:val="18"/>
              </w:rPr>
            </w:pPr>
            <w:r w:rsidRPr="00FE1C03">
              <w:rPr>
                <w:rFonts w:ascii="Times New Roman" w:hAnsi="Times New Roman" w:cs="Times New Roman"/>
                <w:b/>
                <w:sz w:val="18"/>
                <w:szCs w:val="18"/>
              </w:rPr>
              <w:t xml:space="preserve">Auditoria/Fiscalização em processos de </w:t>
            </w:r>
          </w:p>
          <w:p w:rsidR="00356254" w:rsidRPr="00FE1C03" w:rsidRDefault="00887A9F">
            <w:pPr>
              <w:spacing w:after="0" w:line="276" w:lineRule="auto"/>
              <w:ind w:left="4" w:right="117" w:hanging="2"/>
              <w:jc w:val="center"/>
              <w:rPr>
                <w:rFonts w:ascii="Times New Roman" w:hAnsi="Times New Roman" w:cs="Times New Roman"/>
                <w:sz w:val="18"/>
                <w:szCs w:val="18"/>
              </w:rPr>
            </w:pPr>
            <w:r>
              <w:rPr>
                <w:rFonts w:ascii="Times New Roman" w:hAnsi="Times New Roman" w:cs="Times New Roman"/>
                <w:b/>
                <w:sz w:val="18"/>
                <w:szCs w:val="18"/>
              </w:rPr>
              <w:t>Transferência de recursos</w:t>
            </w:r>
          </w:p>
        </w:tc>
        <w:tc>
          <w:tcPr>
            <w:tcW w:w="2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56254" w:rsidRPr="00FE1C03" w:rsidRDefault="00FE1C03" w:rsidP="00A42202">
            <w:pPr>
              <w:spacing w:after="0" w:line="240" w:lineRule="auto"/>
              <w:jc w:val="center"/>
              <w:rPr>
                <w:rFonts w:ascii="Times New Roman" w:hAnsi="Times New Roman" w:cs="Times New Roman"/>
                <w:sz w:val="18"/>
                <w:szCs w:val="18"/>
              </w:rPr>
            </w:pPr>
            <w:r w:rsidRPr="00FE1C03">
              <w:rPr>
                <w:rFonts w:ascii="Times New Roman" w:hAnsi="Times New Roman" w:cs="Times New Roman"/>
                <w:b/>
                <w:sz w:val="18"/>
                <w:szCs w:val="18"/>
              </w:rPr>
              <w:t xml:space="preserve">Observação </w:t>
            </w:r>
            <w:r w:rsidR="00A42202">
              <w:rPr>
                <w:rFonts w:ascii="Times New Roman" w:hAnsi="Times New Roman" w:cs="Times New Roman"/>
                <w:b/>
                <w:sz w:val="18"/>
                <w:szCs w:val="18"/>
              </w:rPr>
              <w:t>do Analista</w:t>
            </w:r>
          </w:p>
        </w:tc>
      </w:tr>
      <w:tr w:rsidR="00356254" w:rsidRPr="00FE1C03" w:rsidTr="006E5419">
        <w:trPr>
          <w:trHeight w:val="90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 </w:t>
            </w:r>
            <w:r w:rsidR="00CE1293">
              <w:rPr>
                <w:rFonts w:ascii="Times New Roman" w:hAnsi="Times New Roman" w:cs="Times New Roman"/>
                <w:sz w:val="18"/>
                <w:szCs w:val="18"/>
              </w:rPr>
              <w:t>acordo</w:t>
            </w:r>
            <w:r w:rsidRPr="00FE1C03">
              <w:rPr>
                <w:rFonts w:ascii="Times New Roman" w:hAnsi="Times New Roman" w:cs="Times New Roman"/>
                <w:sz w:val="18"/>
                <w:szCs w:val="18"/>
              </w:rPr>
              <w:t xml:space="preserve"> firmado demonstrou o atingimento dos objetivos acordados, </w:t>
            </w:r>
            <w:r w:rsidRPr="00FE1C03">
              <w:rPr>
                <w:rFonts w:ascii="Times New Roman" w:eastAsiaTheme="minorEastAsia" w:hAnsi="Times New Roman" w:cs="Times New Roman"/>
                <w:color w:val="auto"/>
                <w:sz w:val="18"/>
                <w:szCs w:val="18"/>
              </w:rPr>
              <w:t>a correção da aplicação dos recursos, a observância às normas legais e regulamentares pertinentes às cláusulas pactuadas</w:t>
            </w:r>
            <w:r w:rsidRPr="00FE1C03">
              <w:rPr>
                <w:rFonts w:ascii="Times New Roman" w:hAnsi="Times New Roman" w:cs="Times New Roman"/>
                <w:sz w:val="18"/>
                <w:szCs w:val="18"/>
              </w:rPr>
              <w:t xml:space="preserve"> através da avaliação de sua </w:t>
            </w:r>
            <w:r w:rsidR="00A42202">
              <w:rPr>
                <w:rFonts w:ascii="Times New Roman" w:hAnsi="Times New Roman" w:cs="Times New Roman"/>
                <w:sz w:val="18"/>
                <w:szCs w:val="18"/>
              </w:rPr>
              <w:t>Prestação de Contas? (a</w:t>
            </w:r>
            <w:r w:rsidRPr="00FE1C03">
              <w:rPr>
                <w:rFonts w:ascii="Times New Roman" w:hAnsi="Times New Roman" w:cs="Times New Roman"/>
                <w:sz w:val="18"/>
                <w:szCs w:val="18"/>
              </w:rPr>
              <w:t>rt. 3º da IN TCE/TO nº 04/2004)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22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proofErr w:type="gramStart"/>
            <w:r w:rsidRPr="00FE1C03">
              <w:rPr>
                <w:rFonts w:ascii="Times New Roman" w:hAnsi="Times New Roman" w:cs="Times New Roman"/>
                <w:sz w:val="18"/>
                <w:szCs w:val="18"/>
              </w:rPr>
              <w:t>Constam</w:t>
            </w:r>
            <w:proofErr w:type="gramEnd"/>
            <w:r w:rsidRPr="00FE1C03">
              <w:rPr>
                <w:rFonts w:ascii="Times New Roman" w:hAnsi="Times New Roman" w:cs="Times New Roman"/>
                <w:sz w:val="18"/>
                <w:szCs w:val="18"/>
              </w:rPr>
              <w:t xml:space="preserve"> comprovação que os recursos foram transferidos dentro do prazo previsto, e que não</w:t>
            </w:r>
            <w:r w:rsidR="00A42202">
              <w:rPr>
                <w:rFonts w:ascii="Times New Roman" w:hAnsi="Times New Roman" w:cs="Times New Roman"/>
                <w:sz w:val="18"/>
                <w:szCs w:val="18"/>
              </w:rPr>
              <w:t xml:space="preserve"> afetou a execução do objeto? (a</w:t>
            </w:r>
            <w:r w:rsidRPr="00FE1C03">
              <w:rPr>
                <w:rFonts w:ascii="Times New Roman" w:hAnsi="Times New Roman" w:cs="Times New Roman"/>
                <w:sz w:val="18"/>
                <w:szCs w:val="18"/>
              </w:rPr>
              <w:t xml:space="preserve">rt. 6º, inc. </w:t>
            </w:r>
            <w:proofErr w:type="gramStart"/>
            <w:r w:rsidR="00832E0A">
              <w:rPr>
                <w:rFonts w:ascii="Times New Roman" w:hAnsi="Times New Roman" w:cs="Times New Roman"/>
                <w:sz w:val="18"/>
                <w:szCs w:val="18"/>
              </w:rPr>
              <w:t xml:space="preserve">I, </w:t>
            </w:r>
            <w:r w:rsidR="00832E0A" w:rsidRPr="00FE1C03">
              <w:rPr>
                <w:rFonts w:ascii="Times New Roman" w:hAnsi="Times New Roman" w:cs="Times New Roman"/>
                <w:sz w:val="18"/>
                <w:szCs w:val="18"/>
              </w:rPr>
              <w:t>alínea</w:t>
            </w:r>
            <w:proofErr w:type="gramEnd"/>
            <w:r w:rsidRPr="00FE1C03">
              <w:rPr>
                <w:rFonts w:ascii="Times New Roman" w:hAnsi="Times New Roman" w:cs="Times New Roman"/>
                <w:sz w:val="18"/>
                <w:szCs w:val="18"/>
              </w:rPr>
              <w:t xml:space="preserve"> “c” da PI nº 424/2016)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562"/>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Consta analise e manifestação acerca da execução física e financeira</w:t>
            </w:r>
            <w:r w:rsidR="00CE1293">
              <w:rPr>
                <w:rFonts w:ascii="Times New Roman" w:hAnsi="Times New Roman" w:cs="Times New Roman"/>
                <w:sz w:val="18"/>
                <w:szCs w:val="18"/>
              </w:rPr>
              <w:t xml:space="preserve"> do objeto pactuado pelo fiscal do termo</w:t>
            </w:r>
            <w:r w:rsidRPr="00FE1C03">
              <w:rPr>
                <w:rFonts w:ascii="Times New Roman" w:hAnsi="Times New Roman" w:cs="Times New Roman"/>
                <w:sz w:val="18"/>
                <w:szCs w:val="18"/>
              </w:rPr>
              <w:t>? (</w:t>
            </w:r>
            <w:r w:rsidR="00A42202">
              <w:rPr>
                <w:rFonts w:ascii="Times New Roman" w:hAnsi="Times New Roman" w:cs="Times New Roman"/>
                <w:sz w:val="18"/>
                <w:szCs w:val="18"/>
              </w:rPr>
              <w:t>a</w:t>
            </w:r>
            <w:r w:rsidRPr="00FE1C03">
              <w:rPr>
                <w:rFonts w:ascii="Times New Roman" w:hAnsi="Times New Roman" w:cs="Times New Roman"/>
                <w:sz w:val="18"/>
                <w:szCs w:val="18"/>
              </w:rPr>
              <w:t>rt. 6º, inc. II, alínea “g” da PI nº 424/2016 e art. 1</w:t>
            </w:r>
            <w:r w:rsidR="00AC5DBA">
              <w:rPr>
                <w:rFonts w:ascii="Times New Roman" w:hAnsi="Times New Roman" w:cs="Times New Roman"/>
                <w:sz w:val="18"/>
                <w:szCs w:val="18"/>
              </w:rPr>
              <w:t>3</w:t>
            </w:r>
            <w:r w:rsidRPr="00FE1C03">
              <w:rPr>
                <w:rFonts w:ascii="Times New Roman" w:hAnsi="Times New Roman" w:cs="Times New Roman"/>
                <w:sz w:val="18"/>
                <w:szCs w:val="18"/>
              </w:rPr>
              <w:t>, inciso XIV do Decreto Estadual nº 5.815/18</w:t>
            </w:r>
            <w:r w:rsidR="00AC5DBA">
              <w:rPr>
                <w:rFonts w:ascii="Times New Roman" w:hAnsi="Times New Roman" w:cs="Times New Roman"/>
                <w:sz w:val="18"/>
                <w:szCs w:val="18"/>
              </w:rPr>
              <w:t xml:space="preserve"> e art. 15, inciso XII do Decreto Estadual nº 5.816/18</w:t>
            </w:r>
            <w:proofErr w:type="gramStart"/>
            <w:r w:rsidR="00AC5DBA">
              <w:rPr>
                <w:rFonts w:ascii="Times New Roman" w:hAnsi="Times New Roman" w:cs="Times New Roman"/>
                <w:sz w:val="18"/>
                <w:szCs w:val="18"/>
              </w:rPr>
              <w:t>)</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68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Foi oportuna e conveniente a realização da cooperação mútua entre os entes de governo para a descentralização dos programas de governo específicos constantes no Plano Plurianual para o quadriênio e LDO?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96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Consta a aferição da execução do objeto e das suas metas, etapas e fases, conforme pactuado no Plano de trabalho integrante dos instrumentos, por meio da verificação da compatibilidade entre estes e os efetivamente executados? (</w:t>
            </w:r>
            <w:r w:rsidR="00A42202">
              <w:rPr>
                <w:rFonts w:ascii="Times New Roman" w:hAnsi="Times New Roman" w:cs="Times New Roman"/>
                <w:sz w:val="18"/>
                <w:szCs w:val="18"/>
              </w:rPr>
              <w:t>a</w:t>
            </w:r>
            <w:r w:rsidRPr="00FE1C03">
              <w:rPr>
                <w:rFonts w:ascii="Times New Roman" w:hAnsi="Times New Roman" w:cs="Times New Roman"/>
                <w:sz w:val="18"/>
                <w:szCs w:val="18"/>
              </w:rPr>
              <w:t>rt. 6º, § 2º da PI nº 424/2016 e art. 27do Decreto Estadual nº 5.815/18</w:t>
            </w:r>
            <w:r w:rsidR="00C950EB">
              <w:rPr>
                <w:rFonts w:ascii="Times New Roman" w:hAnsi="Times New Roman" w:cs="Times New Roman"/>
                <w:sz w:val="18"/>
                <w:szCs w:val="18"/>
              </w:rPr>
              <w:t xml:space="preserve"> e art. 34 do Decreto Estadual nº 5.816/18</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2A6191">
        <w:trPr>
          <w:trHeight w:val="39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Quanto à operacionalização da execução dos programas, projetos, e atividades, fora verificada a realização dos procedimentos licitatórios, a fim de que o certame seguisse a contemporaneidade, os preços pratica</w:t>
            </w:r>
            <w:bookmarkStart w:id="0" w:name="_GoBack"/>
            <w:bookmarkEnd w:id="0"/>
            <w:r w:rsidRPr="00FE1C03">
              <w:rPr>
                <w:rFonts w:ascii="Times New Roman" w:hAnsi="Times New Roman" w:cs="Times New Roman"/>
                <w:sz w:val="18"/>
                <w:szCs w:val="18"/>
              </w:rPr>
              <w:t>dos pelo mercado, tais quais os preços de referência fornecidos anteriormente, e também, se o objeto</w:t>
            </w:r>
            <w:r w:rsidR="00A42202">
              <w:rPr>
                <w:rFonts w:ascii="Times New Roman" w:hAnsi="Times New Roman" w:cs="Times New Roman"/>
                <w:sz w:val="18"/>
                <w:szCs w:val="18"/>
              </w:rPr>
              <w:t xml:space="preserve"> do </w:t>
            </w:r>
            <w:r w:rsidR="00CE1293">
              <w:rPr>
                <w:rFonts w:ascii="Times New Roman" w:hAnsi="Times New Roman" w:cs="Times New Roman"/>
                <w:sz w:val="18"/>
                <w:szCs w:val="18"/>
              </w:rPr>
              <w:t>acordo</w:t>
            </w:r>
            <w:r w:rsidR="00A42202">
              <w:rPr>
                <w:rFonts w:ascii="Times New Roman" w:hAnsi="Times New Roman" w:cs="Times New Roman"/>
                <w:sz w:val="18"/>
                <w:szCs w:val="18"/>
              </w:rPr>
              <w:t xml:space="preserve"> é o mesmo licitado</w:t>
            </w:r>
            <w:r w:rsidRPr="00FE1C03">
              <w:rPr>
                <w:rFonts w:ascii="Times New Roman" w:hAnsi="Times New Roman" w:cs="Times New Roman"/>
                <w:sz w:val="18"/>
                <w:szCs w:val="18"/>
              </w:rPr>
              <w:t xml:space="preserve"> como consta na alínea “d”, II, art. 6º da PI nº 424/2016?</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2A6191">
        <w:trPr>
          <w:trHeight w:val="22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A autoridade competente designada, dentro do prazo de 60 (sessenta) dias contados da data do recebimento, analisou a prestação de contas, fundamentando sua análise nos pareceres técnicos exped</w:t>
            </w:r>
            <w:r w:rsidR="00A42202">
              <w:rPr>
                <w:rFonts w:ascii="Times New Roman" w:hAnsi="Times New Roman" w:cs="Times New Roman"/>
                <w:sz w:val="18"/>
                <w:szCs w:val="18"/>
              </w:rPr>
              <w:t>idos pelas áreas competentes? (a</w:t>
            </w:r>
            <w:r w:rsidRPr="00FE1C03">
              <w:rPr>
                <w:rFonts w:ascii="Times New Roman" w:hAnsi="Times New Roman" w:cs="Times New Roman"/>
                <w:sz w:val="18"/>
                <w:szCs w:val="18"/>
              </w:rPr>
              <w:t>rt. 64 da PI nº 424/2016 e art. 41 do Decreto Estadual nº 5.815/18</w:t>
            </w:r>
            <w:r w:rsidR="00C950EB">
              <w:rPr>
                <w:rFonts w:ascii="Times New Roman" w:hAnsi="Times New Roman" w:cs="Times New Roman"/>
                <w:sz w:val="18"/>
                <w:szCs w:val="18"/>
              </w:rPr>
              <w:t xml:space="preserve"> e art. 48 do Decreto Estadual nº 5.816/18</w:t>
            </w:r>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spacing w:after="0" w:line="276" w:lineRule="auto"/>
              <w:ind w:left="569" w:hanging="283"/>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90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lastRenderedPageBreak/>
              <w:t>As prestações de contas parcial e final, de fato avaliaram o desenvolvimento do projeto e o cumprimento do objeto pactuado, com informações físicas e financei</w:t>
            </w:r>
            <w:r w:rsidR="00A42202">
              <w:rPr>
                <w:rFonts w:ascii="Times New Roman" w:hAnsi="Times New Roman" w:cs="Times New Roman"/>
                <w:sz w:val="18"/>
                <w:szCs w:val="18"/>
              </w:rPr>
              <w:t>ras em sua correta aplicação? (a</w:t>
            </w:r>
            <w:r w:rsidRPr="00FE1C03">
              <w:rPr>
                <w:rFonts w:ascii="Times New Roman" w:hAnsi="Times New Roman" w:cs="Times New Roman"/>
                <w:sz w:val="18"/>
                <w:szCs w:val="18"/>
              </w:rPr>
              <w:t>rt. 40, §3º, inciso II do Decreto Estadual nº 5.815/18</w:t>
            </w:r>
            <w:r w:rsidR="00C950EB">
              <w:rPr>
                <w:rFonts w:ascii="Times New Roman" w:hAnsi="Times New Roman" w:cs="Times New Roman"/>
                <w:sz w:val="18"/>
                <w:szCs w:val="18"/>
              </w:rPr>
              <w:t xml:space="preserve"> e art. 47, § 3º, inciso II do Decreto Estadual nº 5.816/18</w:t>
            </w:r>
            <w:proofErr w:type="gramStart"/>
            <w:r w:rsidRPr="00FE1C03">
              <w:rPr>
                <w:rFonts w:ascii="Times New Roman" w:hAnsi="Times New Roman" w:cs="Times New Roman"/>
                <w:sz w:val="18"/>
                <w:szCs w:val="18"/>
              </w:rPr>
              <w:t>)</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45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 Produto entregue ou o serviço prestado está sendo utilizado de acordo com o fim proposto no plano de aplicação?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45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As metas foram alcançadas e suas etapas ou fases estão sendo ou foram executadas de acordo com o pactuado no Plano de Trabalho, com a quantidade programada?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6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As despesas estão sendo ou foram efetuadas exclusivamente em função das metas, etapas ou fases programadas?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73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Em relação aos pagamentos as datas dos documentos fiscais contido nos autos das Prestações de Contas parciais e final, são anteriores às datas dos cheques ou ordens bancárias?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Os pagamentos correspondem aos lançamentos nos extratos bancários apresentados e/ou em conciliação bancária?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Há compatibilidade entre o saldo financeiro constante no extrato bancário com o saldo disponível recolhido à conta </w:t>
            </w:r>
            <w:proofErr w:type="gramStart"/>
            <w:r w:rsidRPr="00FE1C03">
              <w:rPr>
                <w:rFonts w:ascii="Times New Roman" w:hAnsi="Times New Roman" w:cs="Times New Roman"/>
                <w:sz w:val="18"/>
                <w:szCs w:val="18"/>
              </w:rPr>
              <w:t>do concedente</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1928"/>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Houve acompanhamento e fiscalização por parte do Concedente/Convenente, na execução do Plano de Trabalho, por servidor devidamente designado, o qual tenha verificado a disponibilização de documentos relativos aos bens e/ou serviços ou obras (projeto, edital, contrato, proposta, cronograma, memorial descritivo e etc.), como dispõe nos </w:t>
            </w:r>
            <w:proofErr w:type="spellStart"/>
            <w:r w:rsidRPr="00FE1C03">
              <w:rPr>
                <w:rFonts w:ascii="Times New Roman" w:hAnsi="Times New Roman" w:cs="Times New Roman"/>
                <w:sz w:val="18"/>
                <w:szCs w:val="18"/>
              </w:rPr>
              <w:t>arts</w:t>
            </w:r>
            <w:proofErr w:type="spellEnd"/>
            <w:r w:rsidRPr="00FE1C03">
              <w:rPr>
                <w:rFonts w:ascii="Times New Roman" w:hAnsi="Times New Roman" w:cs="Times New Roman"/>
                <w:sz w:val="18"/>
                <w:szCs w:val="18"/>
              </w:rPr>
              <w:t xml:space="preserve">. </w:t>
            </w:r>
            <w:proofErr w:type="gramStart"/>
            <w:r w:rsidRPr="00FE1C03">
              <w:rPr>
                <w:rFonts w:ascii="Times New Roman" w:hAnsi="Times New Roman" w:cs="Times New Roman"/>
                <w:sz w:val="18"/>
                <w:szCs w:val="18"/>
              </w:rPr>
              <w:t>53, 54 e 55</w:t>
            </w:r>
            <w:proofErr w:type="gramEnd"/>
            <w:r w:rsidRPr="00FE1C03">
              <w:rPr>
                <w:rFonts w:ascii="Times New Roman" w:hAnsi="Times New Roman" w:cs="Times New Roman"/>
                <w:sz w:val="18"/>
                <w:szCs w:val="18"/>
              </w:rPr>
              <w:t xml:space="preserve"> da PI nº 424/2016 e que o mesmo tenha relatado em documento hábil os fatos ocorridos, anexando-o aos autos, de acordo com o art. 67, da Lei n</w:t>
            </w:r>
            <w:r w:rsidRPr="00FE1C03">
              <w:rPr>
                <w:rFonts w:ascii="Times New Roman" w:hAnsi="Times New Roman" w:cs="Times New Roman"/>
                <w:sz w:val="18"/>
                <w:szCs w:val="18"/>
                <w:vertAlign w:val="superscript"/>
              </w:rPr>
              <w:t>o</w:t>
            </w:r>
            <w:r w:rsidRPr="00FE1C03">
              <w:rPr>
                <w:rFonts w:ascii="Times New Roman" w:hAnsi="Times New Roman" w:cs="Times New Roman"/>
                <w:sz w:val="18"/>
                <w:szCs w:val="18"/>
              </w:rPr>
              <w:t xml:space="preserve"> 8.666/1993 e Manual Fiscal de Contrat</w:t>
            </w:r>
            <w:r w:rsidR="00A42202">
              <w:rPr>
                <w:rFonts w:ascii="Times New Roman" w:hAnsi="Times New Roman" w:cs="Times New Roman"/>
                <w:sz w:val="18"/>
                <w:szCs w:val="18"/>
              </w:rPr>
              <w:t>os da CGE, quando for o caso? (a</w:t>
            </w:r>
            <w:r w:rsidRPr="00FE1C03">
              <w:rPr>
                <w:rFonts w:ascii="Times New Roman" w:hAnsi="Times New Roman" w:cs="Times New Roman"/>
                <w:sz w:val="18"/>
                <w:szCs w:val="18"/>
              </w:rPr>
              <w:t>rt. 34 do Decreto Estadual nº 5.815/18</w:t>
            </w:r>
            <w:r w:rsidR="0041007C">
              <w:rPr>
                <w:rFonts w:ascii="Times New Roman" w:hAnsi="Times New Roman" w:cs="Times New Roman"/>
                <w:sz w:val="18"/>
                <w:szCs w:val="18"/>
              </w:rPr>
              <w:t xml:space="preserve"> e art. 41 do Decreto Estadual nº 5.816/18</w:t>
            </w:r>
            <w:r w:rsidRPr="00FE1C03">
              <w:rPr>
                <w:rFonts w:ascii="Times New Roman" w:hAnsi="Times New Roman" w:cs="Times New Roman"/>
                <w:sz w:val="18"/>
                <w:szCs w:val="18"/>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85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O fiscal atuou em toda a execução do objeto, verificando a boa e regular comprovação da aplicação dos recursos, cumprimento das metas no plano de trabalho e</w:t>
            </w:r>
            <w:r w:rsidR="00A42202">
              <w:rPr>
                <w:rFonts w:ascii="Times New Roman" w:hAnsi="Times New Roman" w:cs="Times New Roman"/>
                <w:sz w:val="18"/>
                <w:szCs w:val="18"/>
              </w:rPr>
              <w:t xml:space="preserve"> os desembolsos e pagamentos? (a</w:t>
            </w:r>
            <w:r w:rsidRPr="00FE1C03">
              <w:rPr>
                <w:rFonts w:ascii="Times New Roman" w:hAnsi="Times New Roman" w:cs="Times New Roman"/>
                <w:sz w:val="18"/>
                <w:szCs w:val="18"/>
              </w:rPr>
              <w:t>rt. 56, incisos I ao IV da PI nº 424/2016 e art. 34 do Decreto Estadual nº 5.815/18</w:t>
            </w:r>
            <w:r w:rsidR="0041007C">
              <w:rPr>
                <w:rFonts w:ascii="Times New Roman" w:hAnsi="Times New Roman" w:cs="Times New Roman"/>
                <w:sz w:val="18"/>
                <w:szCs w:val="18"/>
              </w:rPr>
              <w:t xml:space="preserve"> e art. 41 do Decreto Estadual nº 5.816/18</w:t>
            </w:r>
            <w:proofErr w:type="gramStart"/>
            <w:r w:rsidR="0041007C"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90DC5" w:rsidTr="006E5419">
        <w:trPr>
          <w:trHeight w:val="85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lang w:val="en-US"/>
              </w:rPr>
            </w:pPr>
            <w:r w:rsidRPr="00FE1C03">
              <w:rPr>
                <w:rFonts w:ascii="Times New Roman" w:hAnsi="Times New Roman" w:cs="Times New Roman"/>
                <w:sz w:val="18"/>
                <w:szCs w:val="18"/>
              </w:rPr>
              <w:t>Nos casos constantes no § 6º, art. 116, da Lei n</w:t>
            </w:r>
            <w:r w:rsidRPr="00FE1C03">
              <w:rPr>
                <w:rFonts w:ascii="Times New Roman" w:hAnsi="Times New Roman" w:cs="Times New Roman"/>
                <w:sz w:val="18"/>
                <w:szCs w:val="18"/>
                <w:vertAlign w:val="superscript"/>
              </w:rPr>
              <w:t>o</w:t>
            </w:r>
            <w:r w:rsidRPr="00FE1C03">
              <w:rPr>
                <w:rFonts w:ascii="Times New Roman" w:hAnsi="Times New Roman" w:cs="Times New Roman"/>
                <w:sz w:val="18"/>
                <w:szCs w:val="18"/>
              </w:rPr>
              <w:t xml:space="preserve"> 8.666/1993, verificou se as receitas remanescentes obtidas inclusive pelas aplicações financeiras estão corretas e se foram devolvidas no prazo de 30 (trinta) dias do evento? </w:t>
            </w:r>
            <w:r w:rsidR="00A42202">
              <w:rPr>
                <w:rFonts w:ascii="Times New Roman" w:hAnsi="Times New Roman" w:cs="Times New Roman"/>
                <w:sz w:val="18"/>
                <w:szCs w:val="18"/>
                <w:lang w:val="en-US"/>
              </w:rPr>
              <w:t>(a</w:t>
            </w:r>
            <w:r w:rsidRPr="00FE1C03">
              <w:rPr>
                <w:rFonts w:ascii="Times New Roman" w:hAnsi="Times New Roman" w:cs="Times New Roman"/>
                <w:sz w:val="18"/>
                <w:szCs w:val="18"/>
                <w:lang w:val="en-US"/>
              </w:rPr>
              <w:t xml:space="preserve">rt. 60, </w:t>
            </w:r>
            <w:r w:rsidRPr="00FE1C03">
              <w:rPr>
                <w:rFonts w:ascii="Times New Roman" w:hAnsi="Times New Roman" w:cs="Times New Roman"/>
                <w:i/>
                <w:sz w:val="18"/>
                <w:szCs w:val="18"/>
                <w:lang w:val="en-US"/>
              </w:rPr>
              <w:t xml:space="preserve">caput </w:t>
            </w:r>
            <w:r w:rsidR="00A42202">
              <w:rPr>
                <w:rFonts w:ascii="Times New Roman" w:hAnsi="Times New Roman" w:cs="Times New Roman"/>
                <w:sz w:val="18"/>
                <w:szCs w:val="18"/>
                <w:lang w:val="en-US"/>
              </w:rPr>
              <w:t>da PI nº 424/2016 e a</w:t>
            </w:r>
            <w:r w:rsidRPr="00FE1C03">
              <w:rPr>
                <w:rFonts w:ascii="Times New Roman" w:hAnsi="Times New Roman" w:cs="Times New Roman"/>
                <w:sz w:val="18"/>
                <w:szCs w:val="18"/>
                <w:lang w:val="en-US"/>
              </w:rPr>
              <w:t>rt. 4º, inc. X da IN/TCE 04/2004)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lang w:val="en-US"/>
              </w:rPr>
            </w:pPr>
            <w:r w:rsidRPr="00FE1C03">
              <w:rPr>
                <w:rFonts w:ascii="Times New Roman" w:hAnsi="Times New Roman" w:cs="Times New Roman"/>
                <w:sz w:val="18"/>
                <w:szCs w:val="18"/>
                <w:lang w:val="en-US"/>
              </w:rPr>
              <w:t xml:space="preserve"> </w:t>
            </w:r>
          </w:p>
        </w:tc>
      </w:tr>
      <w:tr w:rsidR="00356254" w:rsidRPr="00FE1C03" w:rsidTr="006E5419">
        <w:trPr>
          <w:trHeight w:val="79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No caso de omissão do dever de prestar contas, ou irregularidades na sua aplicação, o órgão ou entidade concedente providenciou a instauração de Tomada de Contas e ou Tomada de Contas Especial, como bem orienta o ar</w:t>
            </w:r>
            <w:r w:rsidR="00887A9F">
              <w:rPr>
                <w:rFonts w:ascii="Times New Roman" w:hAnsi="Times New Roman" w:cs="Times New Roman"/>
                <w:sz w:val="18"/>
                <w:szCs w:val="18"/>
              </w:rPr>
              <w:t>t. 8º, IN/TCE-TO nº 004/2004? (a</w:t>
            </w:r>
            <w:r w:rsidRPr="00FE1C03">
              <w:rPr>
                <w:rFonts w:ascii="Times New Roman" w:hAnsi="Times New Roman" w:cs="Times New Roman"/>
                <w:sz w:val="18"/>
                <w:szCs w:val="18"/>
              </w:rPr>
              <w:t>rt. 44 do Decreto Estadual nº 5.815/18</w:t>
            </w:r>
            <w:r w:rsidR="003B3C20">
              <w:rPr>
                <w:rFonts w:ascii="Times New Roman" w:hAnsi="Times New Roman" w:cs="Times New Roman"/>
                <w:sz w:val="18"/>
                <w:szCs w:val="18"/>
              </w:rPr>
              <w:t xml:space="preserve"> e art. 51 do Decreto Estadual nº 5.816/18</w:t>
            </w:r>
            <w:r w:rsidR="003B3C20" w:rsidRPr="00FE1C03">
              <w:rPr>
                <w:rFonts w:ascii="Times New Roman" w:hAnsi="Times New Roman" w:cs="Times New Roman"/>
                <w:sz w:val="18"/>
                <w:szCs w:val="18"/>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17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Em caso de Suspensão da liberação das parcelas, constam </w:t>
            </w:r>
            <w:r w:rsidR="00887A9F">
              <w:rPr>
                <w:rFonts w:ascii="Times New Roman" w:hAnsi="Times New Roman" w:cs="Times New Roman"/>
                <w:sz w:val="18"/>
                <w:szCs w:val="18"/>
              </w:rPr>
              <w:t>justificativas para tal fato? (a</w:t>
            </w:r>
            <w:r w:rsidRPr="00FE1C03">
              <w:rPr>
                <w:rFonts w:ascii="Times New Roman" w:hAnsi="Times New Roman" w:cs="Times New Roman"/>
                <w:sz w:val="18"/>
                <w:szCs w:val="18"/>
              </w:rPr>
              <w:t>rt. 67, §1º, §2º da PI nº 424/2016 e art. 39, inciso I do Decreto Estadual nº 5.815/18</w:t>
            </w:r>
            <w:r w:rsidR="003B3C20">
              <w:rPr>
                <w:rFonts w:ascii="Times New Roman" w:hAnsi="Times New Roman" w:cs="Times New Roman"/>
                <w:sz w:val="18"/>
                <w:szCs w:val="18"/>
              </w:rPr>
              <w:t xml:space="preserve"> e art. 46, inciso I do Decreto Estadual nº 5.816/18</w:t>
            </w:r>
            <w:r w:rsidR="003B3C20" w:rsidRPr="00FE1C03">
              <w:rPr>
                <w:rFonts w:ascii="Times New Roman" w:hAnsi="Times New Roman" w:cs="Times New Roman"/>
                <w:sz w:val="18"/>
                <w:szCs w:val="18"/>
              </w:rPr>
              <w:t>)</w:t>
            </w:r>
            <w:proofErr w:type="gramStart"/>
            <w:r w:rsidRPr="00FE1C03">
              <w:rPr>
                <w:rFonts w:ascii="Times New Roman" w:hAnsi="Times New Roman" w:cs="Times New Roman"/>
                <w:sz w:val="18"/>
                <w:szCs w:val="18"/>
              </w:rPr>
              <w:t>)</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283"/>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tabs>
                <w:tab w:val="center" w:pos="266"/>
                <w:tab w:val="center" w:pos="1109"/>
                <w:tab w:val="center" w:pos="1807"/>
                <w:tab w:val="center" w:pos="2643"/>
                <w:tab w:val="center" w:pos="4355"/>
                <w:tab w:val="center" w:pos="6013"/>
              </w:tabs>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 </w:t>
            </w:r>
            <w:r w:rsidRPr="00FE1C03">
              <w:rPr>
                <w:rFonts w:ascii="Times New Roman" w:hAnsi="Times New Roman" w:cs="Times New Roman"/>
                <w:sz w:val="18"/>
                <w:szCs w:val="18"/>
              </w:rPr>
              <w:tab/>
              <w:t xml:space="preserve">órgão ou </w:t>
            </w:r>
            <w:r w:rsidRPr="00FE1C03">
              <w:rPr>
                <w:rFonts w:ascii="Times New Roman" w:hAnsi="Times New Roman" w:cs="Times New Roman"/>
                <w:sz w:val="18"/>
                <w:szCs w:val="18"/>
              </w:rPr>
              <w:tab/>
              <w:t xml:space="preserve">entidade </w:t>
            </w:r>
            <w:r w:rsidRPr="00FE1C03">
              <w:rPr>
                <w:rFonts w:ascii="Times New Roman" w:hAnsi="Times New Roman" w:cs="Times New Roman"/>
                <w:sz w:val="18"/>
                <w:szCs w:val="18"/>
              </w:rPr>
              <w:tab/>
              <w:t xml:space="preserve">auditado/fiscalizado, </w:t>
            </w:r>
            <w:r w:rsidRPr="00FE1C03">
              <w:rPr>
                <w:rFonts w:ascii="Times New Roman" w:hAnsi="Times New Roman" w:cs="Times New Roman"/>
                <w:sz w:val="18"/>
                <w:szCs w:val="18"/>
              </w:rPr>
              <w:tab/>
              <w:t xml:space="preserve">quando </w:t>
            </w:r>
            <w:r w:rsidR="002A6191">
              <w:rPr>
                <w:rFonts w:ascii="Times New Roman" w:hAnsi="Times New Roman" w:cs="Times New Roman"/>
                <w:sz w:val="18"/>
                <w:szCs w:val="18"/>
              </w:rPr>
              <w:t>c</w:t>
            </w:r>
            <w:r w:rsidRPr="00FE1C03">
              <w:rPr>
                <w:rFonts w:ascii="Times New Roman" w:hAnsi="Times New Roman" w:cs="Times New Roman"/>
                <w:sz w:val="18"/>
                <w:szCs w:val="18"/>
              </w:rPr>
              <w:t xml:space="preserve">oncedente, atentou para o disposto no art. 11, </w:t>
            </w:r>
            <w:r w:rsidRPr="00FE1C03">
              <w:rPr>
                <w:rFonts w:ascii="Times New Roman" w:hAnsi="Times New Roman" w:cs="Times New Roman"/>
                <w:i/>
                <w:sz w:val="18"/>
                <w:szCs w:val="18"/>
              </w:rPr>
              <w:t>caput</w:t>
            </w:r>
            <w:r w:rsidRPr="00FE1C03">
              <w:rPr>
                <w:rFonts w:ascii="Times New Roman" w:hAnsi="Times New Roman" w:cs="Times New Roman"/>
                <w:sz w:val="18"/>
                <w:szCs w:val="18"/>
              </w:rPr>
              <w:t xml:space="preserve"> e Parágrafo único, LC nº 101/2000? Constam documentos (LOA) que comprovem o</w:t>
            </w:r>
            <w:r w:rsidR="00887A9F">
              <w:rPr>
                <w:rFonts w:ascii="Times New Roman" w:hAnsi="Times New Roman" w:cs="Times New Roman"/>
                <w:sz w:val="18"/>
                <w:szCs w:val="18"/>
              </w:rPr>
              <w:t xml:space="preserve"> atendimento da norma citada? (a</w:t>
            </w:r>
            <w:r w:rsidRPr="00FE1C03">
              <w:rPr>
                <w:rFonts w:ascii="Times New Roman" w:hAnsi="Times New Roman" w:cs="Times New Roman"/>
                <w:sz w:val="18"/>
                <w:szCs w:val="18"/>
              </w:rPr>
              <w:t>rt. 22, inc. I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124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Considerando os percentuais </w:t>
            </w:r>
            <w:r w:rsidR="00887A9F">
              <w:rPr>
                <w:rFonts w:ascii="Times New Roman" w:hAnsi="Times New Roman" w:cs="Times New Roman"/>
                <w:sz w:val="18"/>
                <w:szCs w:val="18"/>
              </w:rPr>
              <w:t xml:space="preserve">que constam no art. 20 da </w:t>
            </w:r>
            <w:r w:rsidRPr="00FE1C03">
              <w:rPr>
                <w:rFonts w:ascii="Times New Roman" w:hAnsi="Times New Roman" w:cs="Times New Roman"/>
                <w:sz w:val="18"/>
                <w:szCs w:val="18"/>
              </w:rPr>
              <w:t xml:space="preserve">LC nº 101/2000, quanto à despesa com pessoal, o Estado, quando Concedente, verificou o cumprimento da norma citada no inciso III, alíneas “a” e “b”, referente a transferências voluntárias a serem realizadas aos municípios, em caso de não cumprimento, aplicando o disposto no inciso I, §3º, art. 23, LC nº 101/2000?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68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lastRenderedPageBreak/>
              <w:t>O Convenente manteve controle das despesas com pessoal, tal qual consta o percentual elencado no</w:t>
            </w:r>
            <w:r w:rsidR="00887A9F">
              <w:rPr>
                <w:rFonts w:ascii="Times New Roman" w:hAnsi="Times New Roman" w:cs="Times New Roman"/>
                <w:sz w:val="18"/>
                <w:szCs w:val="18"/>
              </w:rPr>
              <w:t xml:space="preserve"> inciso II, alínea “c”, art. 20</w:t>
            </w:r>
            <w:r w:rsidRPr="00FE1C03">
              <w:rPr>
                <w:rFonts w:ascii="Times New Roman" w:hAnsi="Times New Roman" w:cs="Times New Roman"/>
                <w:sz w:val="18"/>
                <w:szCs w:val="18"/>
              </w:rPr>
              <w:t xml:space="preserve"> LC nº 101/2000, a fim de que não ocorram restrições ao recebimento de transferências voluntárias?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62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 Os prazos para o encaminhamento das contas ao Poder Executivo da União foram observados, a fim de que se possa conceder ou receber transferências voluntárias na confo</w:t>
            </w:r>
            <w:r w:rsidR="00887A9F">
              <w:rPr>
                <w:rFonts w:ascii="Times New Roman" w:hAnsi="Times New Roman" w:cs="Times New Roman"/>
                <w:sz w:val="18"/>
                <w:szCs w:val="18"/>
              </w:rPr>
              <w:t>rmidade ao que insta no art. 51</w:t>
            </w:r>
            <w:r w:rsidRPr="00FE1C03">
              <w:rPr>
                <w:rFonts w:ascii="Times New Roman" w:hAnsi="Times New Roman" w:cs="Times New Roman"/>
                <w:sz w:val="18"/>
                <w:szCs w:val="18"/>
              </w:rPr>
              <w:t xml:space="preserve"> LC nº 101/2000?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68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Consta nos autos ocorrência de glosa pela área de planejamento, gestão ou finanças ou qualquer outra unidade equivalente, do órgão ou entidade Concedente, do valor relativo a despesas realizadas em data anterior ou posterior </w:t>
            </w:r>
            <w:r w:rsidR="002A6191">
              <w:rPr>
                <w:rFonts w:ascii="Times New Roman" w:hAnsi="Times New Roman" w:cs="Times New Roman"/>
                <w:sz w:val="18"/>
                <w:szCs w:val="18"/>
              </w:rPr>
              <w:t>a sua</w:t>
            </w:r>
            <w:r w:rsidRPr="00FE1C03">
              <w:rPr>
                <w:rFonts w:ascii="Times New Roman" w:hAnsi="Times New Roman" w:cs="Times New Roman"/>
                <w:sz w:val="18"/>
                <w:szCs w:val="18"/>
              </w:rPr>
              <w:t xml:space="preserve"> vigência?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34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Quando em visita </w:t>
            </w:r>
            <w:r w:rsidRPr="00FE1C03">
              <w:rPr>
                <w:rFonts w:ascii="Times New Roman" w:hAnsi="Times New Roman" w:cs="Times New Roman"/>
                <w:i/>
                <w:sz w:val="18"/>
                <w:szCs w:val="18"/>
              </w:rPr>
              <w:t>in loco</w:t>
            </w:r>
            <w:r w:rsidRPr="00FE1C03">
              <w:rPr>
                <w:rFonts w:ascii="Times New Roman" w:hAnsi="Times New Roman" w:cs="Times New Roman"/>
                <w:sz w:val="18"/>
                <w:szCs w:val="18"/>
              </w:rPr>
              <w:t xml:space="preserve">, fora verificada a compatibilidade entre as fotos anexadas nos autos da Prestação de Contas Final e o que foi verificado no local, quando for o caso?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39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Consta divergência entre o objeto executado com o objeto que fora pactuado no Convênio? Quais divergências foram encontradas?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6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Evitou-se a realização de despesas com publicidade, salvo as de caráter educativo, informativo ou de orientação social, sendo que nestas não constem nomes, símbolos, ou imagens que caracterizem promoção pessoal de autoridades ou de servidores públicos que conste cla</w:t>
            </w:r>
            <w:r w:rsidR="00887A9F">
              <w:rPr>
                <w:rFonts w:ascii="Times New Roman" w:hAnsi="Times New Roman" w:cs="Times New Roman"/>
                <w:sz w:val="18"/>
                <w:szCs w:val="18"/>
              </w:rPr>
              <w:t>ramente no plano de trabalho? (a</w:t>
            </w:r>
            <w:r w:rsidRPr="00FE1C03">
              <w:rPr>
                <w:rFonts w:ascii="Times New Roman" w:hAnsi="Times New Roman" w:cs="Times New Roman"/>
                <w:sz w:val="18"/>
                <w:szCs w:val="18"/>
              </w:rPr>
              <w:t>rt. 38, inc. VIII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pPr>
              <w:spacing w:after="0" w:line="276" w:lineRule="auto"/>
              <w:ind w:left="72" w:firstLine="0"/>
              <w:jc w:val="center"/>
              <w:rPr>
                <w:rFonts w:ascii="Times New Roman" w:hAnsi="Times New Roman" w:cs="Times New Roman"/>
                <w:sz w:val="18"/>
                <w:szCs w:val="18"/>
              </w:rPr>
            </w:pPr>
          </w:p>
        </w:tc>
      </w:tr>
      <w:tr w:rsidR="00356254" w:rsidRPr="00FE1C03" w:rsidTr="006E5419">
        <w:trPr>
          <w:trHeight w:val="107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Foi verificado qual o percentual de despesas administrativas que as Entidades Privadas sem fins Lucrativos executaram, tendo em vista o limite de 15% (quinze por cento) do valor do objeto, como também, que esta despesa esteja </w:t>
            </w:r>
            <w:r w:rsidR="002A6191" w:rsidRPr="00FE1C03">
              <w:rPr>
                <w:rFonts w:ascii="Times New Roman" w:hAnsi="Times New Roman" w:cs="Times New Roman"/>
                <w:sz w:val="18"/>
                <w:szCs w:val="18"/>
              </w:rPr>
              <w:t xml:space="preserve">expressamente </w:t>
            </w:r>
            <w:proofErr w:type="gramStart"/>
            <w:r w:rsidR="002A6191" w:rsidRPr="00FE1C03">
              <w:rPr>
                <w:rFonts w:ascii="Times New Roman" w:hAnsi="Times New Roman" w:cs="Times New Roman"/>
                <w:sz w:val="18"/>
                <w:szCs w:val="18"/>
              </w:rPr>
              <w:t>autorizado e demonstrado no respectivo instrumento e no plano de trabalho</w:t>
            </w:r>
            <w:proofErr w:type="gramEnd"/>
            <w:r w:rsidR="00887A9F">
              <w:rPr>
                <w:rFonts w:ascii="Times New Roman" w:hAnsi="Times New Roman" w:cs="Times New Roman"/>
                <w:sz w:val="18"/>
                <w:szCs w:val="18"/>
              </w:rPr>
              <w:t>? (a</w:t>
            </w:r>
            <w:r w:rsidRPr="00FE1C03">
              <w:rPr>
                <w:rFonts w:ascii="Times New Roman" w:hAnsi="Times New Roman" w:cs="Times New Roman"/>
                <w:sz w:val="18"/>
                <w:szCs w:val="18"/>
              </w:rPr>
              <w:t xml:space="preserve">rt. 38, §1º, inc. </w:t>
            </w:r>
            <w:proofErr w:type="gramStart"/>
            <w:r w:rsidRPr="00FE1C03">
              <w:rPr>
                <w:rFonts w:ascii="Times New Roman" w:hAnsi="Times New Roman" w:cs="Times New Roman"/>
                <w:sz w:val="18"/>
                <w:szCs w:val="18"/>
              </w:rPr>
              <w:t>I, II e II</w:t>
            </w:r>
            <w:proofErr w:type="gramEnd"/>
            <w:r w:rsidRPr="00FE1C03">
              <w:rPr>
                <w:rFonts w:ascii="Times New Roman" w:hAnsi="Times New Roman" w:cs="Times New Roman"/>
                <w:sz w:val="18"/>
                <w:szCs w:val="18"/>
              </w:rPr>
              <w:t xml:space="preserve"> da PI nº 424/2016)</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73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Em caso de impossibilidade de realizar os procedimentos licitatórios, sendo neste caso utilizado a dispensa ou a inexigibilidade, constam documentos que suportem a escolha feita, com base na legislação vigente?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45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Os gastos discriminados dos recursos de convênio foram classificados nos elementos de despesas adequados?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283"/>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Houve a ocorrência de pagamento de multas e juros, consta justificativa com o fato motivador para o atraso do cumprimento da obrigação?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Foi efetuado pagamento a servidor público com recursos do convênio por serviços de consultoria, assist</w:t>
            </w:r>
            <w:r w:rsidR="00887A9F">
              <w:rPr>
                <w:rFonts w:ascii="Times New Roman" w:hAnsi="Times New Roman" w:cs="Times New Roman"/>
                <w:sz w:val="18"/>
                <w:szCs w:val="18"/>
              </w:rPr>
              <w:t>ência técnica ou assemelhada? (a</w:t>
            </w:r>
            <w:r w:rsidRPr="00FE1C03">
              <w:rPr>
                <w:rFonts w:ascii="Times New Roman" w:hAnsi="Times New Roman" w:cs="Times New Roman"/>
                <w:sz w:val="18"/>
                <w:szCs w:val="18"/>
              </w:rPr>
              <w:t>rt. 38, inc. IX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62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Na hipótese de o objeto envolver a realização de serviços ou execução de obras custeada, ainda que parcialmente, com recursos externos, foi verificada a prévia contratação de</w:t>
            </w:r>
            <w:r w:rsidR="00887A9F">
              <w:rPr>
                <w:rFonts w:ascii="Times New Roman" w:hAnsi="Times New Roman" w:cs="Times New Roman"/>
                <w:sz w:val="18"/>
                <w:szCs w:val="18"/>
              </w:rPr>
              <w:t xml:space="preserve"> operação de crédito externo? (a</w:t>
            </w:r>
            <w:r w:rsidRPr="00FE1C03">
              <w:rPr>
                <w:rFonts w:ascii="Times New Roman" w:hAnsi="Times New Roman" w:cs="Times New Roman"/>
                <w:sz w:val="18"/>
                <w:szCs w:val="18"/>
              </w:rPr>
              <w:t>rt. 9º, inc. VI, “d”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62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A justificativa contida na proposta de trabalho apresentada na celebração do convênio, com o problema a ser resolvido, fora resolvido? E os resultados esperados foram alcançados?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96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Na hipótese de previsão de contrapartida para complementar a execução do objeto, existe comprovação de que os recursos, bens, ou serviços encontram-se devidamente assegurados e que estes foram dispostos à execução do objeto pactuado?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bl>
    <w:p w:rsidR="00356254" w:rsidRPr="00FE1C03" w:rsidRDefault="00FE1C03">
      <w:pPr>
        <w:spacing w:after="0" w:line="360" w:lineRule="auto"/>
        <w:rPr>
          <w:rFonts w:ascii="Times New Roman" w:hAnsi="Times New Roman" w:cs="Times New Roman"/>
          <w:b/>
          <w:sz w:val="18"/>
          <w:szCs w:val="18"/>
        </w:rPr>
      </w:pPr>
      <w:r w:rsidRPr="00FE1C03">
        <w:rPr>
          <w:rFonts w:ascii="Times New Roman" w:hAnsi="Times New Roman" w:cs="Times New Roman"/>
          <w:b/>
          <w:sz w:val="18"/>
          <w:szCs w:val="18"/>
        </w:rPr>
        <w:t>Apontamentos:</w:t>
      </w:r>
    </w:p>
    <w:tbl>
      <w:tblPr>
        <w:tblW w:w="4942" w:type="pct"/>
        <w:tblLook w:val="04A0"/>
      </w:tblPr>
      <w:tblGrid>
        <w:gridCol w:w="9179"/>
      </w:tblGrid>
      <w:tr w:rsidR="006E5419" w:rsidRPr="00FE1C03" w:rsidTr="006E5419">
        <w:tc>
          <w:tcPr>
            <w:tcW w:w="9179" w:type="dxa"/>
            <w:tcBorders>
              <w:top w:val="single" w:sz="4" w:space="0" w:color="000000"/>
              <w:left w:val="single" w:sz="4" w:space="0" w:color="000000"/>
              <w:bottom w:val="single" w:sz="4" w:space="0" w:color="000000"/>
              <w:right w:val="single" w:sz="4" w:space="0" w:color="000000"/>
            </w:tcBorders>
            <w:shd w:val="clear" w:color="auto" w:fill="auto"/>
          </w:tcPr>
          <w:p w:rsidR="006E5419" w:rsidRPr="00FE1C03" w:rsidRDefault="006E5419">
            <w:pPr>
              <w:spacing w:after="0" w:line="240" w:lineRule="auto"/>
              <w:rPr>
                <w:rFonts w:ascii="Times New Roman" w:hAnsi="Times New Roman" w:cs="Times New Roman"/>
                <w:b/>
                <w:sz w:val="18"/>
                <w:szCs w:val="18"/>
              </w:rPr>
            </w:pPr>
          </w:p>
        </w:tc>
      </w:tr>
      <w:tr w:rsidR="006E5419" w:rsidRPr="00FE1C03" w:rsidTr="006E5419">
        <w:tc>
          <w:tcPr>
            <w:tcW w:w="9179" w:type="dxa"/>
            <w:tcBorders>
              <w:top w:val="single" w:sz="4" w:space="0" w:color="000000"/>
              <w:left w:val="single" w:sz="4" w:space="0" w:color="000000"/>
              <w:bottom w:val="single" w:sz="4" w:space="0" w:color="000000"/>
              <w:right w:val="single" w:sz="4" w:space="0" w:color="000000"/>
            </w:tcBorders>
            <w:shd w:val="clear" w:color="auto" w:fill="auto"/>
          </w:tcPr>
          <w:p w:rsidR="006E5419" w:rsidRPr="00FE1C03" w:rsidRDefault="006E5419">
            <w:pPr>
              <w:spacing w:after="0" w:line="240" w:lineRule="auto"/>
              <w:rPr>
                <w:rFonts w:ascii="Times New Roman" w:hAnsi="Times New Roman" w:cs="Times New Roman"/>
                <w:b/>
                <w:sz w:val="18"/>
                <w:szCs w:val="18"/>
              </w:rPr>
            </w:pPr>
          </w:p>
        </w:tc>
      </w:tr>
    </w:tbl>
    <w:p w:rsidR="00356254" w:rsidRPr="00FE1C03" w:rsidRDefault="006E5419" w:rsidP="006E5419">
      <w:pPr>
        <w:spacing w:after="0" w:line="276" w:lineRule="auto"/>
        <w:ind w:left="0" w:firstLine="0"/>
        <w:jc w:val="center"/>
        <w:rPr>
          <w:rFonts w:ascii="Times New Roman" w:hAnsi="Times New Roman" w:cs="Times New Roman"/>
          <w:sz w:val="18"/>
          <w:szCs w:val="18"/>
        </w:rPr>
      </w:pPr>
      <w:r w:rsidRPr="00FE1C03">
        <w:rPr>
          <w:rFonts w:ascii="Times New Roman" w:hAnsi="Times New Roman" w:cs="Times New Roman"/>
          <w:b/>
          <w:sz w:val="18"/>
          <w:szCs w:val="18"/>
        </w:rPr>
        <w:t>Assinatura e Matrícula do Servidor</w:t>
      </w:r>
    </w:p>
    <w:sectPr w:rsidR="00356254" w:rsidRPr="00FE1C03" w:rsidSect="00FE1C03">
      <w:headerReference w:type="default" r:id="rId8"/>
      <w:footerReference w:type="default" r:id="rId9"/>
      <w:pgSz w:w="11906" w:h="16838"/>
      <w:pgMar w:top="1701" w:right="1134" w:bottom="1134" w:left="1701" w:header="360" w:footer="340" w:gutter="0"/>
      <w:cols w:space="720"/>
      <w:formProt w:val="0"/>
      <w:vAlign w:val="both"/>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47" w:rsidRDefault="00245E47">
      <w:pPr>
        <w:spacing w:after="0" w:line="240" w:lineRule="auto"/>
      </w:pPr>
      <w:r>
        <w:separator/>
      </w:r>
    </w:p>
  </w:endnote>
  <w:endnote w:type="continuationSeparator" w:id="0">
    <w:p w:rsidR="00245E47" w:rsidRDefault="00245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Gotham Medium">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54" w:rsidRDefault="00356254">
    <w:pPr>
      <w:spacing w:after="0" w:line="259" w:lineRule="auto"/>
      <w:ind w:left="-720" w:right="11186"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47" w:rsidRDefault="00245E47">
      <w:pPr>
        <w:spacing w:after="0" w:line="240" w:lineRule="auto"/>
      </w:pPr>
      <w:r>
        <w:separator/>
      </w:r>
    </w:p>
  </w:footnote>
  <w:footnote w:type="continuationSeparator" w:id="0">
    <w:p w:rsidR="00245E47" w:rsidRDefault="00245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54" w:rsidRDefault="00356254">
    <w:pPr>
      <w:spacing w:after="0"/>
      <w:jc w:val="center"/>
    </w:pPr>
  </w:p>
  <w:tbl>
    <w:tblPr>
      <w:tblW w:w="9148" w:type="dxa"/>
      <w:tblInd w:w="-109" w:type="dxa"/>
      <w:tblLayout w:type="fixed"/>
      <w:tblLook w:val="04A0"/>
    </w:tblPr>
    <w:tblGrid>
      <w:gridCol w:w="5179"/>
      <w:gridCol w:w="3969"/>
    </w:tblGrid>
    <w:tr w:rsidR="00356254" w:rsidTr="00080FFA">
      <w:tc>
        <w:tcPr>
          <w:tcW w:w="5179" w:type="dxa"/>
          <w:shd w:val="clear" w:color="auto" w:fill="auto"/>
        </w:tcPr>
        <w:p w:rsidR="00356254" w:rsidRDefault="00FE1C03">
          <w:pPr>
            <w:pStyle w:val="Cabealho"/>
            <w:jc w:val="both"/>
          </w:pPr>
          <w:r>
            <w:rPr>
              <w:noProof/>
              <w:lang w:eastAsia="pt-BR"/>
            </w:rPr>
            <w:drawing>
              <wp:inline distT="0" distB="0" distL="0" distR="0">
                <wp:extent cx="3070747" cy="714743"/>
                <wp:effectExtent l="1905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069167" cy="714375"/>
                        </a:xfrm>
                        <a:prstGeom prst="rect">
                          <a:avLst/>
                        </a:prstGeom>
                      </pic:spPr>
                    </pic:pic>
                  </a:graphicData>
                </a:graphic>
              </wp:inline>
            </w:drawing>
          </w:r>
        </w:p>
      </w:tc>
      <w:tc>
        <w:tcPr>
          <w:tcW w:w="3969" w:type="dxa"/>
          <w:shd w:val="clear" w:color="auto" w:fill="auto"/>
        </w:tcPr>
        <w:p w:rsidR="00356254" w:rsidRPr="00283C9C" w:rsidRDefault="00FE1C03">
          <w:pPr>
            <w:pStyle w:val="Cabealho"/>
            <w:rPr>
              <w:sz w:val="18"/>
              <w:szCs w:val="18"/>
            </w:rPr>
          </w:pPr>
          <w:r w:rsidRPr="00283C9C">
            <w:rPr>
              <w:rFonts w:eastAsia="Times New Roman" w:cs="Arial"/>
              <w:bCs/>
              <w:color w:val="222A35" w:themeColor="text2" w:themeShade="80"/>
              <w:sz w:val="18"/>
              <w:szCs w:val="18"/>
              <w:lang w:eastAsia="pt-BR"/>
            </w:rPr>
            <w:t>Praça dos Girassóis, Esplanada das Secretarias. S/N</w:t>
          </w:r>
          <w:r w:rsidRPr="00283C9C">
            <w:rPr>
              <w:color w:val="222A35" w:themeColor="text2" w:themeShade="80"/>
              <w:sz w:val="18"/>
              <w:szCs w:val="18"/>
            </w:rPr>
            <w:t xml:space="preserve"> </w:t>
          </w:r>
        </w:p>
        <w:p w:rsidR="00356254" w:rsidRPr="00283C9C" w:rsidRDefault="00FE1C03">
          <w:pPr>
            <w:pStyle w:val="Cabealho"/>
            <w:rPr>
              <w:sz w:val="18"/>
              <w:szCs w:val="18"/>
            </w:rPr>
          </w:pPr>
          <w:r w:rsidRPr="00283C9C">
            <w:rPr>
              <w:color w:val="222A35" w:themeColor="text2" w:themeShade="80"/>
              <w:sz w:val="18"/>
              <w:szCs w:val="18"/>
            </w:rPr>
            <w:t>Av. NS-02, Prédio I, s/nº. Plano Diretor Norte</w:t>
          </w:r>
        </w:p>
        <w:p w:rsidR="00356254" w:rsidRPr="00283C9C" w:rsidRDefault="00FE1C03">
          <w:pPr>
            <w:pStyle w:val="Cabealho"/>
            <w:rPr>
              <w:sz w:val="18"/>
              <w:szCs w:val="18"/>
            </w:rPr>
          </w:pPr>
          <w:r w:rsidRPr="00283C9C">
            <w:rPr>
              <w:color w:val="222A35" w:themeColor="text2" w:themeShade="80"/>
              <w:sz w:val="18"/>
              <w:szCs w:val="18"/>
            </w:rPr>
            <w:t>Palmas – Tocantins – CEP: 77.001-002</w:t>
          </w:r>
        </w:p>
        <w:p w:rsidR="00356254" w:rsidRDefault="00FE1C03">
          <w:pPr>
            <w:pStyle w:val="Cabealho"/>
            <w:rPr>
              <w:rFonts w:ascii="Times New Roman" w:hAnsi="Times New Roman"/>
              <w:sz w:val="16"/>
              <w:szCs w:val="16"/>
            </w:rPr>
          </w:pPr>
          <w:proofErr w:type="spellStart"/>
          <w:r w:rsidRPr="00283C9C">
            <w:rPr>
              <w:color w:val="222A35" w:themeColor="text2" w:themeShade="80"/>
              <w:sz w:val="18"/>
              <w:szCs w:val="18"/>
            </w:rPr>
            <w:t>Tel</w:t>
          </w:r>
          <w:proofErr w:type="spellEnd"/>
          <w:r w:rsidRPr="00283C9C">
            <w:rPr>
              <w:color w:val="222A35" w:themeColor="text2" w:themeShade="80"/>
              <w:sz w:val="18"/>
              <w:szCs w:val="18"/>
            </w:rPr>
            <w:t>: +55 63 3218-2563</w:t>
          </w:r>
          <w:r w:rsidRPr="00283C9C">
            <w:rPr>
              <w:color w:val="222A35" w:themeColor="text2" w:themeShade="80"/>
              <w:sz w:val="18"/>
              <w:szCs w:val="18"/>
            </w:rPr>
            <w:br/>
            <w:t>www.cge.to.gov.br</w:t>
          </w:r>
        </w:p>
      </w:tc>
    </w:tr>
  </w:tbl>
  <w:p w:rsidR="00356254" w:rsidRDefault="00356254">
    <w:pPr>
      <w:spacing w:after="0"/>
      <w:jc w:val="center"/>
    </w:pPr>
  </w:p>
  <w:p w:rsidR="00356254" w:rsidRDefault="00356254">
    <w:pPr>
      <w:spacing w:after="0"/>
      <w:jc w:val="center"/>
      <w:rPr>
        <w:rStyle w:val="LinkdaInternet"/>
        <w:rFonts w:ascii="Gotham Medium" w:hAnsi="Gotham Medium"/>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05D"/>
    <w:multiLevelType w:val="multilevel"/>
    <w:tmpl w:val="1E980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765299"/>
    <w:multiLevelType w:val="multilevel"/>
    <w:tmpl w:val="BE3ED612"/>
    <w:lvl w:ilvl="0">
      <w:start w:val="1"/>
      <w:numFmt w:val="decimal"/>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56254"/>
    <w:rsid w:val="00080FFA"/>
    <w:rsid w:val="0008679F"/>
    <w:rsid w:val="00245E47"/>
    <w:rsid w:val="00283C9C"/>
    <w:rsid w:val="002A6191"/>
    <w:rsid w:val="00356254"/>
    <w:rsid w:val="003B3C20"/>
    <w:rsid w:val="0041007C"/>
    <w:rsid w:val="00695259"/>
    <w:rsid w:val="006E5419"/>
    <w:rsid w:val="00832E0A"/>
    <w:rsid w:val="00887A9F"/>
    <w:rsid w:val="009F7606"/>
    <w:rsid w:val="00A42202"/>
    <w:rsid w:val="00AC5DBA"/>
    <w:rsid w:val="00B123D7"/>
    <w:rsid w:val="00C950EB"/>
    <w:rsid w:val="00CE1293"/>
    <w:rsid w:val="00F90DC5"/>
    <w:rsid w:val="00FE1C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06"/>
    <w:pPr>
      <w:spacing w:after="144" w:line="247" w:lineRule="auto"/>
      <w:ind w:left="10" w:hanging="10"/>
      <w:jc w:val="both"/>
    </w:pPr>
    <w:rPr>
      <w:rFonts w:ascii="Arial" w:eastAsia="Arial" w:hAnsi="Arial" w:cs="Arial"/>
      <w:color w:val="000000"/>
      <w:sz w:val="22"/>
    </w:rPr>
  </w:style>
  <w:style w:type="paragraph" w:styleId="Ttulo1">
    <w:name w:val="heading 1"/>
    <w:basedOn w:val="Normal"/>
    <w:next w:val="Normal"/>
    <w:link w:val="Ttulo1Char"/>
    <w:uiPriority w:val="9"/>
    <w:unhideWhenUsed/>
    <w:qFormat/>
    <w:rsid w:val="009F7606"/>
    <w:pPr>
      <w:keepNext/>
      <w:keepLines/>
      <w:spacing w:after="0"/>
      <w:ind w:left="12"/>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9F7606"/>
    <w:rPr>
      <w:rFonts w:ascii="Arial" w:eastAsia="Arial" w:hAnsi="Arial" w:cs="Arial"/>
      <w:b/>
      <w:color w:val="000000"/>
      <w:sz w:val="22"/>
    </w:rPr>
  </w:style>
  <w:style w:type="character" w:customStyle="1" w:styleId="CabealhoChar">
    <w:name w:val="Cabeçalho Char"/>
    <w:basedOn w:val="Fontepargpadro"/>
    <w:link w:val="Cabealho"/>
    <w:uiPriority w:val="99"/>
    <w:qFormat/>
    <w:rsid w:val="0076053C"/>
    <w:rPr>
      <w:rFonts w:eastAsiaTheme="minorHAnsi"/>
      <w:lang w:eastAsia="en-US"/>
    </w:rPr>
  </w:style>
  <w:style w:type="character" w:customStyle="1" w:styleId="LinkdaInternet">
    <w:name w:val="Link da Internet"/>
    <w:basedOn w:val="Fontepargpadro"/>
    <w:rsid w:val="0076053C"/>
    <w:rPr>
      <w:color w:val="0000FF"/>
      <w:u w:val="single"/>
    </w:rPr>
  </w:style>
  <w:style w:type="character" w:customStyle="1" w:styleId="TextodebaloChar">
    <w:name w:val="Texto de balão Char"/>
    <w:basedOn w:val="Fontepargpadro"/>
    <w:link w:val="Textodebalo"/>
    <w:uiPriority w:val="99"/>
    <w:semiHidden/>
    <w:qFormat/>
    <w:rsid w:val="0076053C"/>
    <w:rPr>
      <w:rFonts w:ascii="Segoe UI" w:eastAsia="Arial" w:hAnsi="Segoe UI" w:cs="Segoe UI"/>
      <w:color w:val="000000"/>
      <w:sz w:val="18"/>
      <w:szCs w:val="18"/>
    </w:rPr>
  </w:style>
  <w:style w:type="paragraph" w:styleId="Ttulo">
    <w:name w:val="Title"/>
    <w:basedOn w:val="Normal"/>
    <w:next w:val="Corpodetexto"/>
    <w:qFormat/>
    <w:rsid w:val="009F7606"/>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9F7606"/>
    <w:pPr>
      <w:spacing w:after="140" w:line="276" w:lineRule="auto"/>
    </w:pPr>
  </w:style>
  <w:style w:type="paragraph" w:styleId="Lista">
    <w:name w:val="List"/>
    <w:basedOn w:val="Corpodetexto"/>
    <w:rsid w:val="009F7606"/>
    <w:rPr>
      <w:rFonts w:ascii="Times New Roman" w:hAnsi="Times New Roman" w:cs="Lohit Devanagari"/>
    </w:rPr>
  </w:style>
  <w:style w:type="paragraph" w:styleId="Legenda">
    <w:name w:val="caption"/>
    <w:basedOn w:val="Normal"/>
    <w:qFormat/>
    <w:rsid w:val="009F7606"/>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9F7606"/>
    <w:pPr>
      <w:suppressLineNumbers/>
    </w:pPr>
    <w:rPr>
      <w:rFonts w:ascii="Times New Roman" w:hAnsi="Times New Roman" w:cs="Lohit Devanagari"/>
    </w:rPr>
  </w:style>
  <w:style w:type="paragraph" w:customStyle="1" w:styleId="CabealhoeRodap">
    <w:name w:val="Cabeçalho e Rodapé"/>
    <w:basedOn w:val="Normal"/>
    <w:qFormat/>
    <w:rsid w:val="009F7606"/>
  </w:style>
  <w:style w:type="paragraph" w:styleId="Cabealho">
    <w:name w:val="header"/>
    <w:basedOn w:val="Normal"/>
    <w:link w:val="CabealhoChar"/>
    <w:uiPriority w:val="99"/>
    <w:unhideWhenUsed/>
    <w:rsid w:val="0076053C"/>
    <w:pPr>
      <w:tabs>
        <w:tab w:val="center" w:pos="4252"/>
        <w:tab w:val="right" w:pos="8504"/>
      </w:tabs>
      <w:spacing w:after="0" w:line="240" w:lineRule="auto"/>
      <w:ind w:left="0" w:firstLine="0"/>
      <w:jc w:val="left"/>
    </w:pPr>
    <w:rPr>
      <w:rFonts w:asciiTheme="minorHAnsi" w:eastAsiaTheme="minorHAnsi" w:hAnsiTheme="minorHAnsi" w:cstheme="minorBidi"/>
      <w:color w:val="auto"/>
      <w:lang w:eastAsia="en-US"/>
    </w:rPr>
  </w:style>
  <w:style w:type="paragraph" w:styleId="Textodebalo">
    <w:name w:val="Balloon Text"/>
    <w:basedOn w:val="Normal"/>
    <w:link w:val="TextodebaloChar"/>
    <w:uiPriority w:val="99"/>
    <w:semiHidden/>
    <w:unhideWhenUsed/>
    <w:qFormat/>
    <w:rsid w:val="0076053C"/>
    <w:pPr>
      <w:spacing w:after="0" w:line="240" w:lineRule="auto"/>
    </w:pPr>
    <w:rPr>
      <w:rFonts w:ascii="Segoe UI" w:hAnsi="Segoe UI" w:cs="Segoe UI"/>
      <w:sz w:val="18"/>
      <w:szCs w:val="18"/>
    </w:rPr>
  </w:style>
  <w:style w:type="paragraph" w:styleId="PargrafodaLista">
    <w:name w:val="List Paragraph"/>
    <w:basedOn w:val="Normal"/>
    <w:uiPriority w:val="34"/>
    <w:qFormat/>
    <w:rsid w:val="003A6F27"/>
    <w:pPr>
      <w:ind w:left="720"/>
      <w:contextualSpacing/>
    </w:pPr>
  </w:style>
  <w:style w:type="paragraph" w:styleId="Rodap">
    <w:name w:val="footer"/>
    <w:basedOn w:val="Normal"/>
    <w:rsid w:val="009F7606"/>
  </w:style>
  <w:style w:type="table" w:customStyle="1" w:styleId="TableGrid">
    <w:name w:val="TableGrid"/>
    <w:rsid w:val="009F7606"/>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4" w:line="247" w:lineRule="auto"/>
      <w:ind w:left="10" w:hanging="10"/>
      <w:jc w:val="both"/>
    </w:pPr>
    <w:rPr>
      <w:rFonts w:ascii="Arial" w:eastAsia="Arial" w:hAnsi="Arial" w:cs="Arial"/>
      <w:color w:val="000000"/>
      <w:sz w:val="22"/>
    </w:rPr>
  </w:style>
  <w:style w:type="paragraph" w:styleId="Ttulo1">
    <w:name w:val="heading 1"/>
    <w:basedOn w:val="Normal"/>
    <w:next w:val="Normal"/>
    <w:link w:val="Ttulo1Char"/>
    <w:uiPriority w:val="9"/>
    <w:unhideWhenUsed/>
    <w:qFormat/>
    <w:pPr>
      <w:keepNext/>
      <w:keepLines/>
      <w:spacing w:after="0"/>
      <w:ind w:left="12"/>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Pr>
      <w:rFonts w:ascii="Arial" w:eastAsia="Arial" w:hAnsi="Arial" w:cs="Arial"/>
      <w:b/>
      <w:color w:val="000000"/>
      <w:sz w:val="22"/>
    </w:rPr>
  </w:style>
  <w:style w:type="character" w:customStyle="1" w:styleId="CabealhoChar">
    <w:name w:val="Cabeçalho Char"/>
    <w:basedOn w:val="Fontepargpadro"/>
    <w:link w:val="Cabealho"/>
    <w:uiPriority w:val="99"/>
    <w:qFormat/>
    <w:rsid w:val="0076053C"/>
    <w:rPr>
      <w:rFonts w:eastAsiaTheme="minorHAnsi"/>
      <w:lang w:eastAsia="en-US"/>
    </w:rPr>
  </w:style>
  <w:style w:type="character" w:customStyle="1" w:styleId="LinkdaInternet">
    <w:name w:val="Link da Internet"/>
    <w:basedOn w:val="Fontepargpadro"/>
    <w:rsid w:val="0076053C"/>
    <w:rPr>
      <w:color w:val="0000FF"/>
      <w:u w:val="single"/>
    </w:rPr>
  </w:style>
  <w:style w:type="character" w:customStyle="1" w:styleId="TextodebaloChar">
    <w:name w:val="Texto de balão Char"/>
    <w:basedOn w:val="Fontepargpadro"/>
    <w:link w:val="Textodebalo"/>
    <w:uiPriority w:val="99"/>
    <w:semiHidden/>
    <w:qFormat/>
    <w:rsid w:val="0076053C"/>
    <w:rPr>
      <w:rFonts w:ascii="Segoe UI" w:eastAsia="Arial" w:hAnsi="Segoe UI" w:cs="Segoe UI"/>
      <w:color w:val="000000"/>
      <w:sz w:val="18"/>
      <w:szCs w:val="18"/>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pPr>
      <w:suppressLineNumbers/>
    </w:pPr>
    <w:rPr>
      <w:rFonts w:ascii="Times New Roman" w:hAnsi="Times New Roman" w:cs="Lohit Devanagari"/>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053C"/>
    <w:pPr>
      <w:tabs>
        <w:tab w:val="center" w:pos="4252"/>
        <w:tab w:val="right" w:pos="8504"/>
      </w:tabs>
      <w:spacing w:after="0" w:line="240" w:lineRule="auto"/>
      <w:ind w:left="0" w:firstLine="0"/>
      <w:jc w:val="left"/>
    </w:pPr>
    <w:rPr>
      <w:rFonts w:asciiTheme="minorHAnsi" w:eastAsiaTheme="minorHAnsi" w:hAnsiTheme="minorHAnsi" w:cstheme="minorBidi"/>
      <w:color w:val="auto"/>
      <w:lang w:eastAsia="en-US"/>
    </w:rPr>
  </w:style>
  <w:style w:type="paragraph" w:styleId="Textodebalo">
    <w:name w:val="Balloon Text"/>
    <w:basedOn w:val="Normal"/>
    <w:link w:val="TextodebaloChar"/>
    <w:uiPriority w:val="99"/>
    <w:semiHidden/>
    <w:unhideWhenUsed/>
    <w:qFormat/>
    <w:rsid w:val="0076053C"/>
    <w:pPr>
      <w:spacing w:after="0" w:line="240" w:lineRule="auto"/>
    </w:pPr>
    <w:rPr>
      <w:rFonts w:ascii="Segoe UI" w:hAnsi="Segoe UI" w:cs="Segoe UI"/>
      <w:sz w:val="18"/>
      <w:szCs w:val="18"/>
    </w:rPr>
  </w:style>
  <w:style w:type="paragraph" w:styleId="PargrafodaLista">
    <w:name w:val="List Paragraph"/>
    <w:basedOn w:val="Normal"/>
    <w:uiPriority w:val="34"/>
    <w:qFormat/>
    <w:rsid w:val="003A6F27"/>
    <w:pPr>
      <w:ind w:left="720"/>
      <w:contextualSpacing/>
    </w:pPr>
  </w:style>
  <w:style w:type="paragraph" w:styleId="Rodap">
    <w:name w:val="footer"/>
    <w:basedOn w:val="Normal"/>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8428-7EFA-4017-B293-037DDBAF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1526</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Veralúcia Rodrigues Barros</dc:creator>
  <dc:description/>
  <cp:lastModifiedBy>Adelvy</cp:lastModifiedBy>
  <cp:revision>14</cp:revision>
  <cp:lastPrinted>2017-10-26T12:30:00Z</cp:lastPrinted>
  <dcterms:created xsi:type="dcterms:W3CDTF">2017-10-23T13:23:00Z</dcterms:created>
  <dcterms:modified xsi:type="dcterms:W3CDTF">2020-04-02T19:05:00Z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