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0A" w:rsidRDefault="008628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</w:p>
    <w:p w:rsidR="0086280A" w:rsidRDefault="0049559A">
      <w:pPr>
        <w:spacing w:after="5" w:line="360" w:lineRule="auto"/>
        <w:ind w:right="3"/>
        <w:jc w:val="center"/>
        <w:rPr>
          <w:b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CHECKLIST</w:t>
      </w:r>
      <w:proofErr w:type="spellEnd"/>
    </w:p>
    <w:p w:rsidR="0086280A" w:rsidRDefault="0086280A">
      <w:pPr>
        <w:spacing w:after="5" w:line="360" w:lineRule="auto"/>
        <w:ind w:right="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280A" w:rsidRDefault="0049559A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Auditoria/Fiscalização </w:t>
      </w:r>
    </w:p>
    <w:p w:rsidR="0086280A" w:rsidRDefault="0049559A">
      <w:pPr>
        <w:spacing w:after="0" w:line="360" w:lineRule="auto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em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Processo da  M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odalidade Pregão Presencial </w:t>
      </w:r>
    </w:p>
    <w:p w:rsidR="0086280A" w:rsidRDefault="0086280A">
      <w:pPr>
        <w:spacing w:after="0" w:line="360" w:lineRule="auto"/>
        <w:ind w:left="57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280A" w:rsidRDefault="0049559A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______________________________________________________________________________________</w:t>
      </w:r>
    </w:p>
    <w:p w:rsidR="0086280A" w:rsidRDefault="0049559A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Processo nº: __________________________________________________________________________________________ </w:t>
      </w:r>
    </w:p>
    <w:p w:rsidR="0086280A" w:rsidRDefault="0086280A">
      <w:pPr>
        <w:spacing w:after="0" w:line="360" w:lineRule="auto"/>
        <w:ind w:left="19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86280A" w:rsidRDefault="0049559A">
      <w:pPr>
        <w:spacing w:line="360" w:lineRule="auto"/>
        <w:ind w:left="-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Pregão Presencial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 é a modalidade de licitação em que a disputa pelo fornecimento de bens ou pela prestação de serviços comuns é feita por meio de pr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oposta escrita, permitindo-se aos licitantes a alteração dos preços por meio de lances verbais, em sessão pública. Consideram-se bens e serviços comuns aqueles cujos padrões de desempenho e qualidade possam ser objetivamente definidos no objeto do edital, </w:t>
      </w:r>
      <w:r>
        <w:rPr>
          <w:rFonts w:ascii="Times New Roman" w:eastAsia="Times New Roman" w:hAnsi="Times New Roman" w:cs="Times New Roman"/>
          <w:sz w:val="18"/>
          <w:szCs w:val="18"/>
        </w:rPr>
        <w:t>por intermédio de especificações usuais praticadas no mercado. Com previsão na Lei Federal nº 10.520/2002, Decreto Federal nº 3.555/2000 c/c ao Decreto Estadual nº 2.434/2005.</w:t>
      </w:r>
    </w:p>
    <w:tbl>
      <w:tblPr>
        <w:tblStyle w:val="a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8"/>
        <w:gridCol w:w="3237"/>
      </w:tblGrid>
      <w:tr w:rsidR="0086280A">
        <w:trPr>
          <w:trHeight w:val="57"/>
        </w:trPr>
        <w:tc>
          <w:tcPr>
            <w:tcW w:w="5838" w:type="dxa"/>
            <w:shd w:val="clear" w:color="auto" w:fill="D9D9D9"/>
            <w:vAlign w:val="center"/>
          </w:tcPr>
          <w:p w:rsidR="0086280A" w:rsidRDefault="0049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5181"/>
              </w:tabs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 para Auditoria/Fiscalização no</w:t>
            </w:r>
          </w:p>
          <w:p w:rsidR="0086280A" w:rsidRDefault="00495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Pregão Presencial</w:t>
            </w:r>
          </w:p>
        </w:tc>
        <w:tc>
          <w:tcPr>
            <w:tcW w:w="3237" w:type="dxa"/>
            <w:shd w:val="clear" w:color="auto" w:fill="D9D9D9"/>
            <w:vAlign w:val="center"/>
          </w:tcPr>
          <w:p w:rsidR="0086280A" w:rsidRDefault="0049559A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Observação da Fiscalização/Auditoria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relação à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estimativa de preços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constantes nos autos,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preço final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praticado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alcançou as expectativas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certame?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8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oportuna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conveniente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realização da licitação com lances verbais para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aquisição do bem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prestação de serviço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impacto orçamentário-financeiro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despesa no exercício em que deva entrar em vigor e nos dois exercícios subsequentes?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atos procedimentais subsequentes à fase de lances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que integram a estrutura da modalidade licitatória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Pregão Presencial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foram atentados, visando o prosseguimento correto do feito?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8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objetivo do pregão fora alcançado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ou seja, o de sempre obter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menor preço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desde que atendidas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exigências do edital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sobre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especificação técnica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objeto 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habilitação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licitante?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licitação ser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alta complexidade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o pregoeiro solicitou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um representante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unidade gestora requisitante, a fim de que este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acompanhasse a sessão do pregão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dando um maior suporte na tomada de decisões?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Quando necessária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apresentação de amostra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mesma fora realizada 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classificação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das propostas ao licitante provisoriamente classificado em primeiro lugar, desde que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constante a exigência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de forma detalhada, no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instrumento convocatório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Produto entregue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serviço prestado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está sendo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utilizado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acordo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 o fim proposto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plano plurianual?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Foi verificada se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licitante vencedora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certame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 capacidade financeira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para cumprir os compromissos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pertinentes ao contrato decorrente do pregão?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 alguma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pesquisa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avaliar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custo-benefício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objeto pretendido, levando em consideração 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princípios da eficiência e economicidade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 processo o comprovante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extrato do contrato,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 a devida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publicação na imprensa oficial,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sendo esta uma condição indispensável para a sua eficácia, em conformidade ao parágrafo único,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art. 61,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área requisitante formulou o pedido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buscando a aquisição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contratação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serviços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compatíveis com a necessidade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técnica exigida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fim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garantir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que consta no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planejamento anual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justificativa, consta qual será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previsão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 consumo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sua utilização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impossibilidade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realizar 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procedimentos licitatórios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sendo neste caso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utilizado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dispensa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inexigibilidade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constam documentos que suportem a escolha feita, com base na legislação vigente?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Quando do caso de entrega parcelada ou serviço contínuo, ocorrer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pagamento de multas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juros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consta nos autos,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justificativa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fato motivador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o atraso do cumprimento da obrigação?</w:t>
            </w:r>
          </w:p>
        </w:tc>
        <w:tc>
          <w:tcPr>
            <w:tcW w:w="3237" w:type="dxa"/>
            <w:shd w:val="clear" w:color="auto" w:fill="auto"/>
          </w:tcPr>
          <w:p w:rsidR="0086280A" w:rsidRDefault="0086280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fiscal de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atuou corretamente no acompanhamento e fiscalização na execução do contrato? (Art. 65, §§ 1º e 8º, c/c Art. 67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 e Manual de Gestão de Contratos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O)?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Constam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alterações contratuais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em decorrência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acréscimo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diminuição quantitativa de seu objeto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respeitando o limite de 25% (nas obras,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serviços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do valor inicial atualizado do contrato, na conformidade ao que preconiza o art. 65, §1º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ter havido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recomposição dos preços contratados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(reequilíbrio econômico-financeiro), consta a comprovação de existência de fatos imprevisíveis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 previsíveis com consequências incalculáveis, retardadores e ou impeditivos da execução do ajustado, ou ainda, em caso de força maior, caso fortuito ou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fato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príncipe, configurando álea econômica extraordinária e extracontratual, seguindo a orientação do TCU em Acórdão Plenário nº 1.563/2004 conforme alínea “d”, II, art. 65,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comprovação de que foi resguardado o interesse público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realização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pregão presencial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execução do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como exige o art. 66,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anexados aos autos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comprovação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retenção dos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impostos federais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contribuição previdenciária junto ao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o imposto sobre serviço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conforme legislação municipal,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quando couber ao caso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(Art. 71,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art. 112 da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971/2009 e IN/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SRF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nº 1234/12)?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280A">
        <w:trPr>
          <w:trHeight w:val="57"/>
        </w:trPr>
        <w:tc>
          <w:tcPr>
            <w:tcW w:w="5838" w:type="dxa"/>
            <w:shd w:val="clear" w:color="auto" w:fill="auto"/>
          </w:tcPr>
          <w:p w:rsidR="0086280A" w:rsidRDefault="00495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subcontratação não autorizada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porém realizada por parte da empresa contratada (art. 72,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8.666/1993)? </w:t>
            </w:r>
          </w:p>
        </w:tc>
        <w:tc>
          <w:tcPr>
            <w:tcW w:w="3237" w:type="dxa"/>
            <w:shd w:val="clear" w:color="auto" w:fill="auto"/>
          </w:tcPr>
          <w:p w:rsidR="0086280A" w:rsidRDefault="0049559A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6280A" w:rsidRDefault="0086280A">
      <w:pPr>
        <w:spacing w:after="0" w:line="360" w:lineRule="auto"/>
        <w:ind w:left="19" w:firstLine="12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6280A" w:rsidRDefault="0049559A">
      <w:pPr>
        <w:spacing w:after="0" w:line="360" w:lineRule="auto"/>
        <w:ind w:left="19" w:firstLine="12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Apontamentos:</w:t>
      </w:r>
    </w:p>
    <w:tbl>
      <w:tblPr>
        <w:tblStyle w:val="a0"/>
        <w:tblW w:w="9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4"/>
      </w:tblGrid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80A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A" w:rsidRDefault="0086280A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6280A" w:rsidRDefault="0086280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6280A" w:rsidRDefault="0049559A">
      <w:pPr>
        <w:ind w:right="-484" w:firstLine="69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49559A" w:rsidTr="0049559A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3525" w:type="dxa"/>
          </w:tcPr>
          <w:p w:rsidR="0049559A" w:rsidRDefault="0049559A" w:rsidP="0049559A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559A" w:rsidRDefault="0049559A" w:rsidP="004955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6280A" w:rsidRDefault="0086280A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86280A">
      <w:headerReference w:type="default" r:id="rId9"/>
      <w:footerReference w:type="default" r:id="rId10"/>
      <w:pgSz w:w="11906" w:h="16838"/>
      <w:pgMar w:top="1701" w:right="1134" w:bottom="1134" w:left="1701" w:header="36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559A">
      <w:pPr>
        <w:spacing w:after="0" w:line="240" w:lineRule="auto"/>
      </w:pPr>
      <w:r>
        <w:separator/>
      </w:r>
    </w:p>
  </w:endnote>
  <w:endnote w:type="continuationSeparator" w:id="0">
    <w:p w:rsidR="00000000" w:rsidRDefault="0049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0A" w:rsidRDefault="0086280A">
    <w:pPr>
      <w:spacing w:after="0" w:line="259" w:lineRule="auto"/>
      <w:ind w:left="-720" w:right="11191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559A">
      <w:pPr>
        <w:spacing w:after="0" w:line="240" w:lineRule="auto"/>
      </w:pPr>
      <w:r>
        <w:separator/>
      </w:r>
    </w:p>
  </w:footnote>
  <w:footnote w:type="continuationSeparator" w:id="0">
    <w:p w:rsidR="00000000" w:rsidRDefault="0049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49559A" w:rsidRPr="0049559A" w:rsidTr="00DF0711">
      <w:trPr>
        <w:trHeight w:val="859"/>
      </w:trPr>
      <w:tc>
        <w:tcPr>
          <w:tcW w:w="5813" w:type="dxa"/>
          <w:shd w:val="clear" w:color="auto" w:fill="auto"/>
        </w:tcPr>
        <w:p w:rsidR="0049559A" w:rsidRPr="0049559A" w:rsidRDefault="0049559A" w:rsidP="0049559A">
          <w:pPr>
            <w:tabs>
              <w:tab w:val="center" w:pos="4252"/>
              <w:tab w:val="right" w:pos="8504"/>
            </w:tabs>
            <w:spacing w:after="0" w:line="240" w:lineRule="auto"/>
            <w:ind w:left="0" w:firstLine="0"/>
            <w:rPr>
              <w:rFonts w:ascii="Calibri" w:eastAsia="Calibri" w:hAnsi="Calibri" w:cs="Times New Roman"/>
              <w:lang w:eastAsia="en-US"/>
            </w:rPr>
          </w:pPr>
          <w:r w:rsidRPr="0049559A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39A0EDED" wp14:editId="6DD47164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shd w:val="clear" w:color="auto" w:fill="auto"/>
        </w:tcPr>
        <w:p w:rsidR="0049559A" w:rsidRPr="0049559A" w:rsidRDefault="0049559A" w:rsidP="0049559A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jc w:val="lef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49559A">
            <w:rPr>
              <w:rFonts w:ascii="Calibri" w:eastAsia="Times New Roman" w:hAnsi="Calibri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 w:rsidRPr="0049559A">
            <w:rPr>
              <w:rFonts w:ascii="Calibri" w:eastAsia="Times New Roman" w:hAnsi="Calibri" w:cs="Calibri"/>
              <w:bCs/>
              <w:sz w:val="18"/>
              <w:szCs w:val="18"/>
            </w:rPr>
            <w:t>Secretarias</w:t>
          </w:r>
          <w:proofErr w:type="gramEnd"/>
        </w:p>
        <w:p w:rsidR="0049559A" w:rsidRPr="0049559A" w:rsidRDefault="0049559A" w:rsidP="0049559A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r w:rsidRPr="0049559A">
            <w:rPr>
              <w:rFonts w:ascii="Calibri" w:eastAsia="Times New Roman" w:hAnsi="Calibri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 w:rsidRPr="0049559A">
            <w:rPr>
              <w:rFonts w:ascii="Calibri" w:eastAsia="Times New Roman" w:hAnsi="Calibri" w:cs="Calibri"/>
              <w:bCs/>
              <w:sz w:val="18"/>
              <w:szCs w:val="18"/>
            </w:rPr>
            <w:t>Norte</w:t>
          </w:r>
          <w:proofErr w:type="gramEnd"/>
          <w:r w:rsidRPr="0049559A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</w:t>
          </w:r>
        </w:p>
        <w:p w:rsidR="0049559A" w:rsidRPr="0049559A" w:rsidRDefault="0049559A" w:rsidP="0049559A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r w:rsidRPr="0049559A">
            <w:rPr>
              <w:rFonts w:ascii="Calibri" w:eastAsia="Calibri" w:hAnsi="Calibri" w:cs="Calibri"/>
              <w:sz w:val="18"/>
              <w:szCs w:val="18"/>
              <w:lang w:eastAsia="en-US"/>
            </w:rPr>
            <w:t>Palmas – Tocantins – CEP: 77.001-002</w:t>
          </w:r>
        </w:p>
        <w:p w:rsidR="0049559A" w:rsidRPr="0049559A" w:rsidRDefault="0049559A" w:rsidP="0049559A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proofErr w:type="spellStart"/>
          <w:r w:rsidRPr="0049559A">
            <w:rPr>
              <w:rFonts w:ascii="Calibri" w:eastAsia="Calibri" w:hAnsi="Calibri" w:cs="Calibri"/>
              <w:sz w:val="18"/>
              <w:szCs w:val="18"/>
              <w:lang w:eastAsia="en-US"/>
            </w:rPr>
            <w:t>Tel</w:t>
          </w:r>
          <w:proofErr w:type="spellEnd"/>
          <w:r w:rsidRPr="0049559A">
            <w:rPr>
              <w:rFonts w:ascii="Calibri" w:eastAsia="Calibri" w:hAnsi="Calibri" w:cs="Calibri"/>
              <w:sz w:val="18"/>
              <w:szCs w:val="18"/>
              <w:lang w:eastAsia="en-US"/>
            </w:rPr>
            <w:t>: +55 63 3218-2563</w:t>
          </w:r>
        </w:p>
        <w:p w:rsidR="0049559A" w:rsidRPr="0049559A" w:rsidRDefault="0049559A" w:rsidP="0049559A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jc w:val="left"/>
            <w:rPr>
              <w:rFonts w:ascii="Calibri" w:eastAsia="Calibri" w:hAnsi="Calibri" w:cs="Times New Roman"/>
              <w:lang w:eastAsia="en-US"/>
            </w:rPr>
          </w:pPr>
          <w:hyperlink r:id="rId2" w:history="1">
            <w:r w:rsidRPr="0049559A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eastAsia="en-US"/>
              </w:rPr>
              <w:t>gabexecutivo@controladoria.to.gov.br</w:t>
            </w:r>
          </w:hyperlink>
          <w:r w:rsidRPr="0049559A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</w:t>
          </w:r>
        </w:p>
        <w:p w:rsidR="0049559A" w:rsidRPr="0049559A" w:rsidRDefault="0049559A" w:rsidP="0049559A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jc w:val="left"/>
            <w:rPr>
              <w:rFonts w:ascii="Calibri" w:eastAsia="Calibri" w:hAnsi="Calibri" w:cs="Times New Roman"/>
              <w:lang w:eastAsia="en-US"/>
            </w:rPr>
          </w:pPr>
          <w:hyperlink r:id="rId3" w:history="1">
            <w:r w:rsidRPr="0049559A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eastAsia="en-US"/>
              </w:rPr>
              <w:t>www.to.gov.br/cge</w:t>
            </w:r>
          </w:hyperlink>
        </w:p>
      </w:tc>
    </w:tr>
  </w:tbl>
  <w:p w:rsidR="0086280A" w:rsidRDefault="0086280A">
    <w:pPr>
      <w:spacing w:after="0" w:line="228" w:lineRule="auto"/>
      <w:ind w:left="19" w:firstLine="12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0C0C"/>
    <w:multiLevelType w:val="multilevel"/>
    <w:tmpl w:val="93F80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280A"/>
    <w:rsid w:val="0049559A"/>
    <w:rsid w:val="008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46" w:line="24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59"/>
    <w:pPr>
      <w:spacing w:line="247" w:lineRule="auto"/>
      <w:ind w:hanging="1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787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21B7"/>
    <w:rPr>
      <w:rFonts w:ascii="Arial" w:eastAsia="Arial" w:hAnsi="Arial" w:cs="Arial"/>
      <w:color w:val="000000"/>
    </w:rPr>
  </w:style>
  <w:style w:type="character" w:customStyle="1" w:styleId="LinkdaInternet">
    <w:name w:val="Link da Internet"/>
    <w:rsid w:val="00787D59"/>
    <w:rPr>
      <w:color w:val="000080"/>
      <w:u w:val="single"/>
    </w:rPr>
  </w:style>
  <w:style w:type="paragraph" w:styleId="Corpodetexto">
    <w:name w:val="Body Text"/>
    <w:basedOn w:val="Normal"/>
    <w:rsid w:val="00787D59"/>
    <w:pPr>
      <w:spacing w:after="140" w:line="276" w:lineRule="auto"/>
    </w:pPr>
  </w:style>
  <w:style w:type="paragraph" w:styleId="Lista">
    <w:name w:val="List"/>
    <w:basedOn w:val="Corpodetexto"/>
    <w:rsid w:val="00787D59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787D5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87D59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787D59"/>
  </w:style>
  <w:style w:type="paragraph" w:styleId="Cabealho">
    <w:name w:val="header"/>
    <w:basedOn w:val="Normal"/>
    <w:link w:val="CabealhoChar"/>
    <w:uiPriority w:val="99"/>
    <w:unhideWhenUsed/>
    <w:rsid w:val="004121B7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37B5"/>
    <w:pPr>
      <w:ind w:left="720"/>
      <w:contextualSpacing/>
    </w:pPr>
  </w:style>
  <w:style w:type="paragraph" w:styleId="Rodap">
    <w:name w:val="footer"/>
    <w:basedOn w:val="Normal"/>
    <w:rsid w:val="00787D59"/>
  </w:style>
  <w:style w:type="table" w:customStyle="1" w:styleId="TableGrid">
    <w:name w:val="TableGrid"/>
    <w:rsid w:val="00787D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5A"/>
    <w:rPr>
      <w:rFonts w:ascii="Tahoma" w:eastAsia="Arial" w:hAnsi="Tahoma" w:cs="Tahoma"/>
      <w:color w:val="000000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6" w:type="dxa"/>
        <w:left w:w="26" w:type="dxa"/>
        <w:bottom w:w="0" w:type="dxa"/>
        <w:right w:w="4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46" w:line="24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59"/>
    <w:pPr>
      <w:spacing w:line="247" w:lineRule="auto"/>
      <w:ind w:hanging="1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787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21B7"/>
    <w:rPr>
      <w:rFonts w:ascii="Arial" w:eastAsia="Arial" w:hAnsi="Arial" w:cs="Arial"/>
      <w:color w:val="000000"/>
    </w:rPr>
  </w:style>
  <w:style w:type="character" w:customStyle="1" w:styleId="LinkdaInternet">
    <w:name w:val="Link da Internet"/>
    <w:rsid w:val="00787D59"/>
    <w:rPr>
      <w:color w:val="000080"/>
      <w:u w:val="single"/>
    </w:rPr>
  </w:style>
  <w:style w:type="paragraph" w:styleId="Corpodetexto">
    <w:name w:val="Body Text"/>
    <w:basedOn w:val="Normal"/>
    <w:rsid w:val="00787D59"/>
    <w:pPr>
      <w:spacing w:after="140" w:line="276" w:lineRule="auto"/>
    </w:pPr>
  </w:style>
  <w:style w:type="paragraph" w:styleId="Lista">
    <w:name w:val="List"/>
    <w:basedOn w:val="Corpodetexto"/>
    <w:rsid w:val="00787D59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787D5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87D59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787D59"/>
  </w:style>
  <w:style w:type="paragraph" w:styleId="Cabealho">
    <w:name w:val="header"/>
    <w:basedOn w:val="Normal"/>
    <w:link w:val="CabealhoChar"/>
    <w:uiPriority w:val="99"/>
    <w:unhideWhenUsed/>
    <w:rsid w:val="004121B7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37B5"/>
    <w:pPr>
      <w:ind w:left="720"/>
      <w:contextualSpacing/>
    </w:pPr>
  </w:style>
  <w:style w:type="paragraph" w:styleId="Rodap">
    <w:name w:val="footer"/>
    <w:basedOn w:val="Normal"/>
    <w:rsid w:val="00787D59"/>
  </w:style>
  <w:style w:type="table" w:customStyle="1" w:styleId="TableGrid">
    <w:name w:val="TableGrid"/>
    <w:rsid w:val="00787D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5A"/>
    <w:rPr>
      <w:rFonts w:ascii="Tahoma" w:eastAsia="Arial" w:hAnsi="Tahoma" w:cs="Tahoma"/>
      <w:color w:val="000000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6" w:type="dxa"/>
        <w:left w:w="26" w:type="dxa"/>
        <w:bottom w:w="0" w:type="dxa"/>
        <w:right w:w="4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913zpXJeejZ277udkmbvdXs7Q==">AMUW2mV9N8+miA2+KScjChDqhmLlngiiNUp9q59myYkG79rttvQCd0LdFboKOsKFIik7JMw9ou6xJBxDQH3EZeR/mYc4gUaQDhZJ2BmbETA5eqRC+XXmFc8qf7o6JBkV1Su6Dlv3gZow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Veralúcia Rodrigues Barros</dc:creator>
  <cp:lastModifiedBy>AMANDA FELIX RIBEIRO</cp:lastModifiedBy>
  <cp:revision>2</cp:revision>
  <dcterms:created xsi:type="dcterms:W3CDTF">2017-09-29T13:32:00Z</dcterms:created>
  <dcterms:modified xsi:type="dcterms:W3CDTF">2021-08-27T13:23:00Z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