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E8" w:rsidRDefault="00813771">
      <w:pPr>
        <w:tabs>
          <w:tab w:val="center" w:pos="2281"/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</w:rPr>
        <w:t>CHECKLIST</w:t>
      </w:r>
      <w:proofErr w:type="spellEnd"/>
    </w:p>
    <w:p w:rsidR="00171EE8" w:rsidRDefault="00171EE8">
      <w:pPr>
        <w:tabs>
          <w:tab w:val="center" w:pos="2281"/>
          <w:tab w:val="right" w:pos="15181"/>
        </w:tabs>
        <w:spacing w:after="0" w:line="360" w:lineRule="auto"/>
        <w:ind w:left="0" w:right="0" w:firstLine="0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171EE8" w:rsidRDefault="00813771">
      <w:pPr>
        <w:tabs>
          <w:tab w:val="right" w:pos="15181"/>
        </w:tabs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Auditoria/Fiscalização</w:t>
      </w:r>
    </w:p>
    <w:p w:rsidR="00171EE8" w:rsidRDefault="00813771">
      <w:pPr>
        <w:tabs>
          <w:tab w:val="right" w:pos="15181"/>
        </w:tabs>
        <w:spacing w:after="0" w:line="240" w:lineRule="auto"/>
        <w:ind w:left="0" w:righ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Sistema de Registro de Preços</w:t>
      </w:r>
    </w:p>
    <w:p w:rsidR="00171EE8" w:rsidRDefault="00813771">
      <w:pPr>
        <w:spacing w:after="0" w:line="240" w:lineRule="auto"/>
        <w:ind w:left="2" w:right="0"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(Órgão Gerenciador, Participante e Não Participante</w:t>
      </w:r>
      <w:proofErr w:type="gramStart"/>
      <w:r>
        <w:rPr>
          <w:rFonts w:ascii="Times New Roman" w:hAnsi="Times New Roman"/>
          <w:b/>
          <w:sz w:val="20"/>
          <w:szCs w:val="20"/>
        </w:rPr>
        <w:t>)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71EE8" w:rsidRDefault="00171EE8">
      <w:pPr>
        <w:spacing w:after="0" w:line="360" w:lineRule="auto"/>
        <w:ind w:left="14" w:right="0"/>
        <w:jc w:val="left"/>
        <w:rPr>
          <w:rFonts w:ascii="Times New Roman" w:hAnsi="Times New Roman"/>
          <w:b/>
          <w:sz w:val="20"/>
          <w:szCs w:val="20"/>
          <w:u w:val="single" w:color="000000"/>
        </w:rPr>
      </w:pPr>
    </w:p>
    <w:p w:rsidR="00171EE8" w:rsidRDefault="00813771">
      <w:pPr>
        <w:spacing w:after="0" w:line="360" w:lineRule="auto"/>
        <w:ind w:left="-5" w:right="0" w:firstLine="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Órgão/Entidade: _______________________________________________________________________________________</w:t>
      </w:r>
    </w:p>
    <w:p w:rsidR="00171EE8" w:rsidRDefault="00813771">
      <w:pPr>
        <w:spacing w:after="0" w:line="360" w:lineRule="auto"/>
        <w:ind w:left="-5" w:right="0" w:firstLine="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Número da Ata: ________________________________Processo nº: _____________________________________________</w:t>
      </w:r>
    </w:p>
    <w:p w:rsidR="00171EE8" w:rsidRDefault="00813771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Edital de Licitação nº: __________________________________________________________________________________</w:t>
      </w:r>
    </w:p>
    <w:p w:rsidR="00171EE8" w:rsidRDefault="00171EE8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71EE8" w:rsidRDefault="00813771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SRP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Conjunto de procedimentos para registro formal de preços relativos à aquisição de bens, à prestação de serviços, inclusive de locação, para contratações futuras. (art. 2º, I do Decreto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Estadual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nº </w:t>
      </w:r>
      <w:r>
        <w:rPr>
          <w:rFonts w:ascii="Times New Roman" w:hAnsi="Times New Roman" w:cs="Times New Roman"/>
          <w:bCs/>
          <w:sz w:val="18"/>
          <w:szCs w:val="18"/>
        </w:rPr>
        <w:t>6.081/2020</w:t>
      </w:r>
      <w:r>
        <w:rPr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 do Decreto Federal nº 7.892/2013). </w:t>
      </w:r>
    </w:p>
    <w:p w:rsidR="00171EE8" w:rsidRDefault="00171EE8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71EE8" w:rsidRDefault="00813771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Órgão Gerenciador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Órgão ou Entidade da Administração Pública Estadual ou Federal responsável pela condução do </w:t>
      </w:r>
      <w:proofErr w:type="gramStart"/>
      <w:r>
        <w:rPr>
          <w:rFonts w:ascii="Times New Roman" w:hAnsi="Times New Roman" w:cs="Times New Roman"/>
          <w:sz w:val="18"/>
          <w:szCs w:val="18"/>
        </w:rPr>
        <w:t>conjunto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de procedimentos para registro de preços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 gerenciamento da ata de registro de preços dela decorrente. (art. 2º, </w:t>
      </w:r>
      <w:proofErr w:type="spellStart"/>
      <w:r>
        <w:rPr>
          <w:rFonts w:ascii="Times New Roman" w:hAnsi="Times New Roman" w:cs="Times New Roman"/>
          <w:sz w:val="18"/>
          <w:szCs w:val="18"/>
        </w:rPr>
        <w:t>III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do Decreto Estadual nº </w:t>
      </w:r>
      <w:r>
        <w:rPr>
          <w:rFonts w:ascii="Times New Roman" w:hAnsi="Times New Roman" w:cs="Times New Roman"/>
          <w:bCs/>
          <w:sz w:val="18"/>
          <w:szCs w:val="18"/>
        </w:rPr>
        <w:t>6.081/2020</w:t>
      </w:r>
      <w:r>
        <w:rPr>
          <w:rFonts w:ascii="Times New Roman" w:hAnsi="Times New Roman" w:cs="Times New Roman"/>
          <w:color w:val="4472C4" w:themeColor="accent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e do Decreto Federal nº 7.892/13). </w:t>
      </w:r>
    </w:p>
    <w:p w:rsidR="00171EE8" w:rsidRDefault="00171EE8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71EE8" w:rsidRDefault="00813771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Órgão Participante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Órgão ou Entidade da Administração Pública Estadual que participa dos procedimentos iniciais do Sistema de Registro de Preços e íntegra a Ata de Registro de Preços. (art.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2º, </w:t>
      </w:r>
      <w:proofErr w:type="spellStart"/>
      <w:r>
        <w:rPr>
          <w:rFonts w:ascii="Times New Roman" w:hAnsi="Times New Roman" w:cs="Times New Roman"/>
          <w:sz w:val="18"/>
          <w:szCs w:val="18"/>
        </w:rPr>
        <w:t>IV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do Decreto Estadual nº </w:t>
      </w:r>
      <w:r>
        <w:rPr>
          <w:rFonts w:ascii="Times New Roman" w:hAnsi="Times New Roman" w:cs="Times New Roman"/>
          <w:bCs/>
          <w:sz w:val="18"/>
          <w:szCs w:val="18"/>
        </w:rPr>
        <w:t>6.081/2020</w:t>
      </w:r>
      <w:r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171EE8" w:rsidRDefault="00171EE8">
      <w:pPr>
        <w:spacing w:after="0" w:line="360" w:lineRule="auto"/>
        <w:ind w:left="19" w:right="0" w:firstLine="0"/>
        <w:jc w:val="left"/>
        <w:rPr>
          <w:rFonts w:ascii="Times New Roman" w:hAnsi="Times New Roman" w:cs="Times New Roman"/>
          <w:sz w:val="18"/>
          <w:szCs w:val="18"/>
        </w:rPr>
      </w:pPr>
    </w:p>
    <w:p w:rsidR="00171EE8" w:rsidRDefault="00813771">
      <w:pPr>
        <w:spacing w:after="0" w:line="360" w:lineRule="auto"/>
        <w:ind w:left="14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 w:color="000000"/>
        </w:rPr>
        <w:t>Órgão não Participante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Órgão ou Entidade da Administração Pública que, não tendo participado dos procedimentos iniciais da licitação, atendidos os requisitos desta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forma, faz adesão à Ata de Registro de Preços. (art. 2º, V, do Decreto Estadual </w:t>
      </w:r>
      <w:proofErr w:type="gramStart"/>
      <w:r>
        <w:rPr>
          <w:rFonts w:ascii="Times New Roman" w:hAnsi="Times New Roman" w:cs="Times New Roman"/>
          <w:sz w:val="18"/>
          <w:szCs w:val="18"/>
        </w:rPr>
        <w:t>nº</w:t>
      </w:r>
      <w:r>
        <w:rPr>
          <w:rFonts w:ascii="Times New Roman" w:hAnsi="Times New Roman" w:cs="Times New Roman"/>
          <w:bCs/>
          <w:sz w:val="18"/>
          <w:szCs w:val="18"/>
        </w:rPr>
        <w:t>6.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>081/2020</w:t>
      </w:r>
      <w:r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171EE8" w:rsidRDefault="00171EE8">
      <w:pPr>
        <w:spacing w:after="0" w:line="360" w:lineRule="auto"/>
        <w:ind w:left="0" w:right="0" w:firstLine="0"/>
        <w:jc w:val="lef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075" w:type="dxa"/>
        <w:tblLayout w:type="fixed"/>
        <w:tblCellMar>
          <w:left w:w="98" w:type="dxa"/>
          <w:right w:w="5" w:type="dxa"/>
        </w:tblCellMar>
        <w:tblLook w:val="04A0" w:firstRow="1" w:lastRow="0" w:firstColumn="1" w:lastColumn="0" w:noHBand="0" w:noVBand="1"/>
      </w:tblPr>
      <w:tblGrid>
        <w:gridCol w:w="6406"/>
        <w:gridCol w:w="2669"/>
      </w:tblGrid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171EE8" w:rsidRDefault="00813771">
            <w:pPr>
              <w:widowControl w:val="0"/>
              <w:tabs>
                <w:tab w:val="right" w:pos="15181"/>
              </w:tabs>
              <w:spacing w:after="0"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Exigência para Auditoria/Fiscalização em </w:t>
            </w:r>
          </w:p>
          <w:p w:rsidR="00171EE8" w:rsidRDefault="00813771">
            <w:pPr>
              <w:widowControl w:val="0"/>
              <w:tabs>
                <w:tab w:val="right" w:pos="15181"/>
              </w:tabs>
              <w:spacing w:after="0"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Sistema de Registro de Preços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171EE8" w:rsidRDefault="00813771">
            <w:pPr>
              <w:widowControl w:val="0"/>
              <w:spacing w:after="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Observação da Fiscalização/Auditoria</w:t>
            </w:r>
          </w:p>
        </w:tc>
      </w:tr>
      <w:tr w:rsidR="00171EE8">
        <w:trPr>
          <w:trHeight w:val="34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Órgão Gerenciador oportunizou por correspondência eletrônica ou outro meio eficaz, aos demais órgãos e entidades da administração pública Estadual, a possibilidade de participação destes no certame? (art. 5º, I,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Foi respeitado o prazo mínimo de oito dias para que outros órgãos e entidades manifestem interesse em participar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contados da data de divulgação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no Diário Oficial do Estado? (Art. 4º, §1º do Decreto Estadual nº 6.081/2020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Foi oportuna e conveniente a realização do Registro de Preços para aquisição do material, do bem ou do serviço contratado, conforme incentivos e programas específicos constantes no Plano Plurianual para o quadriênio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órgão ou entidade fiscalizado (a) anexou aos autos, estimativa do impacto orçamentário-financeiro para o exercício e Declaração do Ordenador de que o projeto tem adequação orçamentária, quando não prevista tal despesa inicialmente na lei orçamentária, como exige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LRF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101/2000, art. 16, I e II e § 1º, II?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Constam documentos que comprovem a celeridade e eficiência da atuação do Órgão Gerenciador em observância ao art. 5º, incisos II,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VI, do Decreto Estadual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estudo técnico preliminar consta elaborado, de preferência, por técnico dotado de qualificação compatível com as especificações dos trabalhos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contratar ou bens a adquiri? (art. 3º, inc. VI do Decreto Federal nº 10.024/2019; art. 24 § 2º da IN/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MPDG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05/2017 e art. 37, paragrafo único do Decreto Orçamentário nº 6.237/2021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 Termo de Referência foi elaborado com minucioso planejamento pela área técnica, constando os devidos quantitativos consolidados, com estabelecimento objetivo das regras a serem adotadas para o certame, norteando as futuras contratações pelos Órgãos e Entidades Participantes? (art. 5º,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Decreto </w:t>
            </w:r>
            <w:bookmarkStart w:id="0" w:name="__DdeLink__977_109289137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Estadual nº </w:t>
            </w:r>
            <w:bookmarkEnd w:id="0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art. 7º, § 5º e art. 15, § 7º, I, da Lei Federal nº 8.666/93; art. 3º, II, da Lei Federal nº 10.520/02; art. 26 e 37 do Decreto Orçamentário nº 6.237/2021).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que concerne à pesquisa de mercado, foram observadas as orientações do TCU constantes do item 1.5.1.2, TC-016.959/2007-5, Acórdão TCU nº 244/2009 – 2ª Câmara, como também o art. 7º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fazendo constar toda a documentação que deu suporte à formação do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mapa de apuração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 ampla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1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pesquisa de mercado, estimado pela área técnica? (art. 15, §1º da Lei Federal nº 8.666/93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Quanto às estimativas de preços</w:t>
            </w:r>
            <w:r>
              <w:rPr>
                <w:rStyle w:val="FootnoteAnchor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encontram-se suficientemente fundamentadas e detalhadas, utilizando para isso, propostas obtidas junto a, no mínimo, três fornecedores, consoante reiterada jurisprudência da Egrégia Corte de Contas da União, a exemplo do Acórdão nº 3026/2010-TCU-Plenário? (Acórdão nº 4.013/2008-TCU-Plenário, Acórdão nº 1.547/2007-TCU-Plenário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Foi respeitado o tipo menor preço, com julgamento por técnica e preço, considerando ainda a possibilidade de subdividir a quantidade total do item em lotes, se comprovado técnica e economicamente viável, a fim de possibilitar a competitividade como consta no art. 23, §1º da Lei Federal nº 8.666/93, c/c ao art. 8º, caput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Súmula nº 247 do TCU?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1465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Constam no Edital as exigências técnicas de qualificação, as quais devem ser justificadas em face do objeto a ser licitado, comprovando a capacidade técnica de forma específica, com avaliação realizada pela área técnica, tal qual preconiza o art. 30,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LLCA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a fim de que as exigências formuladas não restrinjam à competitividade, mas que as mesmas enquadrem-se aos parâmetros legais, como disposto no Acórdão nº 470/2011–TCU–Plenário?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 Edital consta definida a documentação necessária para atender a regularidade para com a Fazenda Estadual e/ou Fazenda Municipal e também Trabalhista, de acordo com o objeto da licitação com breve consulta ao cadastro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CEIS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CNJ, embasada em recomendação do TCU, conforme itens 9.2.1.5 e 9.2.1.6 do Acórdão nº 1.793/2011-TCU-Plenário e art. 29, da Lei Federal nº 8.666/93?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Órgão Participante consultou previamente o Órgão Gerenciador a fim de obter a indicação dos fornecedores e dos quantitativos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como disposto no art. 6º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Órgão ou Entidade fiscalizado (a) verificou a inexistência de outra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vigente, cujo preço do objeto contratado tenha sido registrado a menor?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Nos casos de ocorrência de descumprimento do pactuado na ata de registro de preços ou do descumprimento das obrigações contratuais, consta nos autos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documento que comprove que o Órgão Participante informou as ocorrências ao Órgão Gerenciador? (art. 6º, § 1º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O(s) contrato (s) oriundo (s)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obedeceu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ram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o prazo e a validade da ata conforme instrui o art. 12, §4º,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 preço registrado sofreu alteração, tornando-se superior ao praticado no mercado? Em caso afirmativo: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Órgão Gerenciador convocou o fornecedor do bem ou prestador do serviço para negociação a fim de que o preço registrado fosse realinhado ao novo preço praticado no mercado, como recomenda o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“caput”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art. 18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color w:val="4472C4" w:themeColor="accen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2"/>
              </w:numPr>
              <w:tabs>
                <w:tab w:val="right" w:pos="15181"/>
              </w:tabs>
              <w:spacing w:after="0" w:line="276" w:lineRule="auto"/>
              <w:ind w:left="557" w:right="111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Foi seguida a ordem de classificação dos fornecedores registrado originalmente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aqueles que aceitaram a reduzir seus preços aos valores de mercado? (art. 18, §2º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no Edital a previsibilidade de realinhamento dos preços registrados, os quais devem se coadunar com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LLCA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como bem exarado no Acórdão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3.040/2008-TCU-Primeira Câmara e Acórdão nº 474/2005-TCU-Plenário?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Quando da adesão por Órgão ou Entidades não Participantes, consta anexado aos autos justificativa da vantagem em pegar “carona”, com demonstrativo dos preços praticados no mercado, assim como diz o art. 22, caput,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640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Consta a anuência do Órgão Gerenciador quanto à possibilidade de o Órgão ou Entidade não Participante aderir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art. 22, §1º do Decreto Estadual nº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737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Houvera previsão no instrumento convocatório quanto à possibilidade de adesão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por Órgão não participante, como declarado no art. 22, §4º do Decreto Estadual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974"/>
        </w:trPr>
        <w:tc>
          <w:tcPr>
            <w:tcW w:w="64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Órgão Gerenciador verificou o quantitativo utilizado dos itens pertencentes à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ARP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 fim de que não seja excedido o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dobro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quantitativo de cada item inicialmente registrado, como bem determina o art. 22, §4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559"/>
        </w:trPr>
        <w:tc>
          <w:tcPr>
            <w:tcW w:w="64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órgão Gerenciador autorizou dentro do prazo de vigência da ata, a adesão do Órgão Não Participante? (art. 22, § 5º do Decreto Estadual nº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6.081/2020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6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órgão não participante efetivou a aquisição ou contratação em até 90 (noventa) dias da autorização da adesão? (art. 22, § 5º do Decreto Estadual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>
        <w:trPr>
          <w:trHeight w:val="243"/>
        </w:trPr>
        <w:tc>
          <w:tcPr>
            <w:tcW w:w="64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71EE8" w:rsidRDefault="00813771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right" w:pos="15181"/>
              </w:tabs>
              <w:spacing w:after="0" w:line="276" w:lineRule="auto"/>
              <w:ind w:left="557" w:right="111" w:hanging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órgão gerenciador tem controle dos contratos das atas aderidas pelo órgão não participante? (art. 22, § 5º do Decreto Estadual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nº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081/2020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6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276" w:lineRule="auto"/>
              <w:ind w:left="0" w:righ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71EE8" w:rsidRDefault="00171EE8">
      <w:pPr>
        <w:spacing w:after="0" w:line="360" w:lineRule="auto"/>
        <w:ind w:left="19" w:right="0" w:firstLine="124"/>
        <w:rPr>
          <w:rFonts w:ascii="Times New Roman" w:hAnsi="Times New Roman" w:cs="Times New Roman"/>
          <w:b/>
          <w:sz w:val="18"/>
          <w:szCs w:val="18"/>
        </w:rPr>
      </w:pPr>
    </w:p>
    <w:p w:rsidR="00171EE8" w:rsidRDefault="00813771">
      <w:pPr>
        <w:spacing w:after="0" w:line="360" w:lineRule="auto"/>
        <w:ind w:left="19" w:right="0" w:firstLine="12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Apontamentos:</w:t>
      </w:r>
    </w:p>
    <w:tbl>
      <w:tblPr>
        <w:tblW w:w="5000" w:type="pct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292"/>
      </w:tblGrid>
      <w:tr w:rsidR="00171EE8" w:rsidTr="00813771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 w:rsidTr="00813771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 w:rsidTr="00813771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 w:rsidTr="00813771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1EE8" w:rsidTr="00813771">
        <w:tc>
          <w:tcPr>
            <w:tcW w:w="9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EE8" w:rsidRDefault="00171EE8">
            <w:pPr>
              <w:widowControl w:val="0"/>
              <w:spacing w:after="0" w:line="360" w:lineRule="auto"/>
              <w:ind w:left="19" w:right="0" w:firstLine="12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71EE8" w:rsidRDefault="00171EE8">
      <w:pPr>
        <w:spacing w:after="0" w:line="360" w:lineRule="auto"/>
        <w:ind w:right="0"/>
        <w:jc w:val="left"/>
        <w:rPr>
          <w:rFonts w:ascii="Times New Roman" w:hAnsi="Times New Roman" w:cs="Times New Roman"/>
          <w:sz w:val="18"/>
          <w:szCs w:val="18"/>
        </w:rPr>
      </w:pPr>
    </w:p>
    <w:p w:rsidR="00171EE8" w:rsidRDefault="00813771">
      <w:pPr>
        <w:spacing w:after="0" w:line="360" w:lineRule="auto"/>
        <w:ind w:right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Assinatura e Matrícula do Servidor</w:t>
      </w:r>
    </w:p>
    <w:tbl>
      <w:tblPr>
        <w:tblW w:w="0" w:type="auto"/>
        <w:tblInd w:w="3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</w:tblGrid>
      <w:tr w:rsidR="00813771" w:rsidTr="00813771">
        <w:trPr>
          <w:trHeight w:val="1039"/>
        </w:trPr>
        <w:tc>
          <w:tcPr>
            <w:tcW w:w="2805" w:type="dxa"/>
          </w:tcPr>
          <w:p w:rsidR="00813771" w:rsidRDefault="00813771">
            <w:pPr>
              <w:spacing w:after="0" w:line="36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13771" w:rsidRDefault="00813771">
      <w:pPr>
        <w:spacing w:after="0" w:line="360" w:lineRule="auto"/>
        <w:ind w:right="0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sectPr w:rsidR="00813771">
      <w:headerReference w:type="default" r:id="rId9"/>
      <w:pgSz w:w="11906" w:h="16838"/>
      <w:pgMar w:top="1701" w:right="1134" w:bottom="1134" w:left="1701" w:header="357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BA" w:rsidRDefault="00813771">
      <w:pPr>
        <w:spacing w:after="0" w:line="240" w:lineRule="auto"/>
      </w:pPr>
      <w:r>
        <w:separator/>
      </w:r>
    </w:p>
  </w:endnote>
  <w:endnote w:type="continuationSeparator" w:id="0">
    <w:p w:rsidR="008A3BBA" w:rsidRDefault="0081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E8" w:rsidRDefault="00813771">
      <w:pPr>
        <w:rPr>
          <w:sz w:val="12"/>
        </w:rPr>
      </w:pPr>
      <w:r>
        <w:separator/>
      </w:r>
    </w:p>
  </w:footnote>
  <w:footnote w:type="continuationSeparator" w:id="0">
    <w:p w:rsidR="00171EE8" w:rsidRDefault="00813771">
      <w:pPr>
        <w:rPr>
          <w:sz w:val="12"/>
        </w:rPr>
      </w:pPr>
      <w:r>
        <w:continuationSeparator/>
      </w:r>
    </w:p>
  </w:footnote>
  <w:footnote w:id="1">
    <w:p w:rsidR="00171EE8" w:rsidRDefault="00813771">
      <w:pPr>
        <w:pStyle w:val="Textodenotaderodap"/>
        <w:widowControl w:val="0"/>
      </w:pPr>
      <w:r>
        <w:rPr>
          <w:rStyle w:val="FootnoteCharacters"/>
        </w:rPr>
        <w:footnoteRef/>
      </w:r>
      <w:r>
        <w:tab/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Além de consultas aos fornecedores do ramo do objeto solicitado, devem ser realizadas pesquisas em outros órgãos e entidades da administração pública e aos sistemas de compras do governo, do Portal de Compras do Governo Federal (www.comprasnet.gov.br), dentre outros, as quais devem constar dos autos do correspondente processo. </w:t>
      </w:r>
      <w:proofErr w:type="gramStart"/>
      <w:r>
        <w:rPr>
          <w:rFonts w:ascii="Times New Roman" w:hAnsi="Times New Roman" w:cs="Times New Roman"/>
          <w:color w:val="auto"/>
          <w:sz w:val="16"/>
          <w:szCs w:val="16"/>
        </w:rPr>
        <w:t xml:space="preserve">A mera comparação dos valores constantes na Ata com os obtidos junto a empresas consultadas na fase interna de licitação não é suficiente para configurar a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</w:rPr>
        <w:t>vantajosidade</w:t>
      </w:r>
      <w:proofErr w:type="spellEnd"/>
      <w:r>
        <w:rPr>
          <w:rFonts w:ascii="Times New Roman" w:hAnsi="Times New Roman" w:cs="Times New Roman"/>
          <w:color w:val="auto"/>
          <w:sz w:val="16"/>
          <w:szCs w:val="16"/>
        </w:rPr>
        <w:t xml:space="preserve"> da adesão, devendo o “Carona” se socorrer de outras fontes, a exemplo de licitações e contratos similares realizados no âmbito da Administração Pública (TCU, Acórdão nº 420/2018, Plenário).</w:t>
      </w:r>
      <w:proofErr w:type="gramEnd"/>
    </w:p>
  </w:footnote>
  <w:footnote w:id="2">
    <w:p w:rsidR="00171EE8" w:rsidRDefault="00813771">
      <w:pPr>
        <w:pStyle w:val="Textodenotaderodap"/>
        <w:widowControl w:val="0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Style w:val="FootnoteCharacters"/>
        </w:rPr>
        <w:footnoteRef/>
      </w:r>
      <w:r>
        <w:tab/>
        <w:t xml:space="preserve">    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Para despesa com recursos do estado o decreto orçamentário vigente não trouxe a obrigação de estimativa de valor do objeto no termo de referência, quando referir-se a despesa com recursos federal utilizar a obrigação no decreto federal 10.024/2019.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98" w:type="dxa"/>
      <w:tblInd w:w="-175" w:type="dxa"/>
      <w:tblLook w:val="04A0" w:firstRow="1" w:lastRow="0" w:firstColumn="1" w:lastColumn="0" w:noHBand="0" w:noVBand="1"/>
    </w:tblPr>
    <w:tblGrid>
      <w:gridCol w:w="5814"/>
      <w:gridCol w:w="4284"/>
    </w:tblGrid>
    <w:tr w:rsidR="00435495" w:rsidRPr="00435495" w:rsidTr="00DF0711">
      <w:trPr>
        <w:trHeight w:val="859"/>
      </w:trPr>
      <w:tc>
        <w:tcPr>
          <w:tcW w:w="5813" w:type="dxa"/>
          <w:shd w:val="clear" w:color="auto" w:fill="auto"/>
        </w:tcPr>
        <w:p w:rsidR="00435495" w:rsidRPr="00435495" w:rsidRDefault="00435495" w:rsidP="0043549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0" w:right="0" w:firstLine="0"/>
            <w:rPr>
              <w:rFonts w:ascii="Calibri" w:eastAsia="Calibri" w:hAnsi="Calibri" w:cs="Times New Roman"/>
              <w:sz w:val="22"/>
              <w:lang w:eastAsia="en-US"/>
            </w:rPr>
          </w:pPr>
          <w:r w:rsidRPr="00435495">
            <w:rPr>
              <w:rFonts w:ascii="Calibri" w:eastAsia="Calibri" w:hAnsi="Calibri" w:cs="Times New Roman"/>
              <w:noProof/>
              <w:sz w:val="22"/>
            </w:rPr>
            <w:drawing>
              <wp:anchor distT="0" distB="0" distL="114300" distR="114300" simplePos="0" relativeHeight="251659264" behindDoc="1" locked="0" layoutInCell="1" allowOverlap="1" wp14:anchorId="39A0EDED" wp14:editId="6DD47164">
                <wp:simplePos x="0" y="0"/>
                <wp:positionH relativeFrom="margin">
                  <wp:posOffset>145415</wp:posOffset>
                </wp:positionH>
                <wp:positionV relativeFrom="margin">
                  <wp:posOffset>26670</wp:posOffset>
                </wp:positionV>
                <wp:extent cx="3144520" cy="53340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452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84" w:type="dxa"/>
          <w:shd w:val="clear" w:color="auto" w:fill="auto"/>
        </w:tcPr>
        <w:p w:rsidR="00435495" w:rsidRPr="00435495" w:rsidRDefault="00435495" w:rsidP="0043549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right="0" w:hanging="339"/>
            <w:jc w:val="left"/>
            <w:rPr>
              <w:rFonts w:ascii="Calibri" w:eastAsia="Times New Roman" w:hAnsi="Calibri" w:cs="Calibri"/>
              <w:bCs/>
              <w:sz w:val="18"/>
              <w:szCs w:val="18"/>
            </w:rPr>
          </w:pPr>
          <w:r w:rsidRPr="00435495">
            <w:rPr>
              <w:rFonts w:ascii="Calibri" w:eastAsia="Times New Roman" w:hAnsi="Calibri" w:cs="Calibri"/>
              <w:bCs/>
              <w:sz w:val="18"/>
              <w:szCs w:val="18"/>
            </w:rPr>
            <w:t xml:space="preserve">Praça dos Girassóis, Esplanada das </w:t>
          </w:r>
          <w:proofErr w:type="gramStart"/>
          <w:r w:rsidRPr="00435495">
            <w:rPr>
              <w:rFonts w:ascii="Calibri" w:eastAsia="Times New Roman" w:hAnsi="Calibri" w:cs="Calibri"/>
              <w:bCs/>
              <w:sz w:val="18"/>
              <w:szCs w:val="18"/>
            </w:rPr>
            <w:t>Secretarias</w:t>
          </w:r>
          <w:proofErr w:type="gramEnd"/>
        </w:p>
        <w:p w:rsidR="00435495" w:rsidRPr="00435495" w:rsidRDefault="00435495" w:rsidP="0043549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right="0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r w:rsidRPr="00435495">
            <w:rPr>
              <w:rFonts w:ascii="Calibri" w:eastAsia="Times New Roman" w:hAnsi="Calibri" w:cs="Calibri"/>
              <w:bCs/>
              <w:sz w:val="18"/>
              <w:szCs w:val="18"/>
            </w:rPr>
            <w:t xml:space="preserve">Av. NS-2, Prédio I, S/N, Plano Diretor </w:t>
          </w:r>
          <w:proofErr w:type="gramStart"/>
          <w:r w:rsidRPr="00435495">
            <w:rPr>
              <w:rFonts w:ascii="Calibri" w:eastAsia="Times New Roman" w:hAnsi="Calibri" w:cs="Calibri"/>
              <w:bCs/>
              <w:sz w:val="18"/>
              <w:szCs w:val="18"/>
            </w:rPr>
            <w:t>Norte</w:t>
          </w:r>
          <w:proofErr w:type="gramEnd"/>
          <w:r w:rsidRPr="00435495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</w:t>
          </w:r>
        </w:p>
        <w:p w:rsidR="00435495" w:rsidRPr="00435495" w:rsidRDefault="00435495" w:rsidP="0043549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right="0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r w:rsidRPr="00435495">
            <w:rPr>
              <w:rFonts w:ascii="Calibri" w:eastAsia="Calibri" w:hAnsi="Calibri" w:cs="Calibri"/>
              <w:sz w:val="18"/>
              <w:szCs w:val="18"/>
              <w:lang w:eastAsia="en-US"/>
            </w:rPr>
            <w:t>Palmas – Tocantins – CEP: 77.001-002</w:t>
          </w:r>
        </w:p>
        <w:p w:rsidR="00435495" w:rsidRPr="00435495" w:rsidRDefault="00435495" w:rsidP="0043549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right="0" w:hanging="339"/>
            <w:jc w:val="left"/>
            <w:rPr>
              <w:rFonts w:ascii="Calibri" w:eastAsia="Calibri" w:hAnsi="Calibri" w:cs="Calibri"/>
              <w:sz w:val="18"/>
              <w:szCs w:val="18"/>
              <w:lang w:eastAsia="en-US"/>
            </w:rPr>
          </w:pPr>
          <w:proofErr w:type="spellStart"/>
          <w:r w:rsidRPr="00435495">
            <w:rPr>
              <w:rFonts w:ascii="Calibri" w:eastAsia="Calibri" w:hAnsi="Calibri" w:cs="Calibri"/>
              <w:sz w:val="18"/>
              <w:szCs w:val="18"/>
              <w:lang w:eastAsia="en-US"/>
            </w:rPr>
            <w:t>Tel</w:t>
          </w:r>
          <w:proofErr w:type="spellEnd"/>
          <w:r w:rsidRPr="00435495">
            <w:rPr>
              <w:rFonts w:ascii="Calibri" w:eastAsia="Calibri" w:hAnsi="Calibri" w:cs="Calibri"/>
              <w:sz w:val="18"/>
              <w:szCs w:val="18"/>
              <w:lang w:eastAsia="en-US"/>
            </w:rPr>
            <w:t>: +55 63 3218-2563</w:t>
          </w:r>
        </w:p>
        <w:p w:rsidR="00435495" w:rsidRPr="00435495" w:rsidRDefault="00435495" w:rsidP="0043549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right="0" w:hanging="339"/>
            <w:jc w:val="left"/>
            <w:rPr>
              <w:rFonts w:ascii="Calibri" w:eastAsia="Calibri" w:hAnsi="Calibri" w:cs="Times New Roman"/>
              <w:sz w:val="22"/>
              <w:lang w:eastAsia="en-US"/>
            </w:rPr>
          </w:pPr>
          <w:hyperlink r:id="rId2" w:history="1">
            <w:r w:rsidRPr="00435495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  <w:lang w:eastAsia="en-US"/>
              </w:rPr>
              <w:t>gabexecutivo@controladoria.to.gov.br</w:t>
            </w:r>
          </w:hyperlink>
          <w:r w:rsidRPr="00435495">
            <w:rPr>
              <w:rFonts w:ascii="Calibri" w:eastAsia="Calibri" w:hAnsi="Calibri" w:cs="Calibri"/>
              <w:sz w:val="18"/>
              <w:szCs w:val="18"/>
              <w:lang w:eastAsia="en-US"/>
            </w:rPr>
            <w:t xml:space="preserve"> </w:t>
          </w:r>
        </w:p>
        <w:p w:rsidR="00435495" w:rsidRPr="00435495" w:rsidRDefault="00435495" w:rsidP="00435495">
          <w:pPr>
            <w:tabs>
              <w:tab w:val="center" w:pos="4252"/>
              <w:tab w:val="right" w:pos="8504"/>
            </w:tabs>
            <w:suppressAutoHyphens w:val="0"/>
            <w:spacing w:after="0" w:line="240" w:lineRule="auto"/>
            <w:ind w:left="373" w:right="0" w:hanging="339"/>
            <w:jc w:val="left"/>
            <w:rPr>
              <w:rFonts w:ascii="Calibri" w:eastAsia="Calibri" w:hAnsi="Calibri" w:cs="Times New Roman"/>
              <w:sz w:val="22"/>
              <w:lang w:eastAsia="en-US"/>
            </w:rPr>
          </w:pPr>
          <w:hyperlink r:id="rId3" w:history="1">
            <w:r w:rsidRPr="00435495"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  <w:lang w:eastAsia="en-US"/>
              </w:rPr>
              <w:t>www.to.gov.br/cge</w:t>
            </w:r>
          </w:hyperlink>
        </w:p>
      </w:tc>
    </w:tr>
  </w:tbl>
  <w:p w:rsidR="00171EE8" w:rsidRDefault="00171E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691"/>
    <w:multiLevelType w:val="multilevel"/>
    <w:tmpl w:val="44CE1BC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E9057BA"/>
    <w:multiLevelType w:val="multilevel"/>
    <w:tmpl w:val="8004B9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D4D4B3A"/>
    <w:multiLevelType w:val="multilevel"/>
    <w:tmpl w:val="62B659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EE8"/>
    <w:rsid w:val="00171EE8"/>
    <w:rsid w:val="00435495"/>
    <w:rsid w:val="00813771"/>
    <w:rsid w:val="008A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" w:hAnsi="Times New Roman" w:cs="Lohit Devanagari"/>
        <w:kern w:val="2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6A"/>
    <w:pPr>
      <w:spacing w:after="16" w:line="247" w:lineRule="auto"/>
      <w:ind w:left="10" w:right="8759" w:hanging="10"/>
      <w:jc w:val="both"/>
    </w:pPr>
    <w:rPr>
      <w:rFonts w:ascii="Arial" w:eastAsia="Arial" w:hAnsi="Arial" w:cs="Arial"/>
      <w:color w:val="000000"/>
      <w:kern w:val="0"/>
      <w:sz w:val="24"/>
      <w:szCs w:val="22"/>
      <w:lang w:eastAsia="pt-BR" w:bidi="ar-SA"/>
    </w:rPr>
  </w:style>
  <w:style w:type="paragraph" w:styleId="Ttulo1">
    <w:name w:val="heading 1"/>
    <w:basedOn w:val="Normal"/>
    <w:next w:val="Normal"/>
    <w:uiPriority w:val="9"/>
    <w:qFormat/>
    <w:rsid w:val="00F7406A"/>
    <w:pPr>
      <w:keepNext/>
      <w:keepLines/>
      <w:spacing w:after="0"/>
      <w:ind w:right="3"/>
      <w:jc w:val="center"/>
      <w:outlineLvl w:val="0"/>
    </w:pPr>
    <w:rPr>
      <w:b/>
      <w:sz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qFormat/>
    <w:rsid w:val="00F7406A"/>
    <w:rPr>
      <w:rFonts w:ascii="Arial" w:eastAsia="Arial" w:hAnsi="Arial" w:cs="Arial"/>
      <w:b/>
      <w:color w:val="000000"/>
      <w:sz w:val="28"/>
      <w:u w:val="single" w:color="000000"/>
    </w:rPr>
  </w:style>
  <w:style w:type="character" w:customStyle="1" w:styleId="RodapChar">
    <w:name w:val="Rodapé Char"/>
    <w:basedOn w:val="Fontepargpadro"/>
    <w:qFormat/>
    <w:rsid w:val="00F7406A"/>
    <w:rPr>
      <w:rFonts w:ascii="Arial" w:eastAsia="Arial" w:hAnsi="Arial" w:cs="Arial"/>
      <w:color w:val="000000"/>
      <w:sz w:val="24"/>
    </w:rPr>
  </w:style>
  <w:style w:type="character" w:customStyle="1" w:styleId="LinkdaInternet">
    <w:name w:val="Link da Internet"/>
    <w:qFormat/>
    <w:rsid w:val="00F7406A"/>
    <w:rPr>
      <w:color w:val="000080"/>
      <w:u w:val="single"/>
    </w:rPr>
  </w:style>
  <w:style w:type="character" w:customStyle="1" w:styleId="TextodebaloChar">
    <w:name w:val="Texto de balão Char"/>
    <w:basedOn w:val="Fontepargpadro"/>
    <w:qFormat/>
    <w:rsid w:val="00F7406A"/>
    <w:rPr>
      <w:rFonts w:ascii="Segoe UI" w:eastAsia="Arial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qFormat/>
    <w:rsid w:val="00F7406A"/>
    <w:rPr>
      <w:rFonts w:eastAsia="Calibri"/>
      <w:lang w:eastAsia="en-US"/>
    </w:rPr>
  </w:style>
  <w:style w:type="character" w:customStyle="1" w:styleId="Caracteresdenotaderodap">
    <w:name w:val="Caracteres de nota de rodapé"/>
    <w:qFormat/>
    <w:rsid w:val="00F7406A"/>
  </w:style>
  <w:style w:type="character" w:customStyle="1" w:styleId="Caracteresdenotadefim">
    <w:name w:val="Caracteres de nota de fim"/>
    <w:qFormat/>
    <w:rsid w:val="00F7406A"/>
  </w:style>
  <w:style w:type="character" w:customStyle="1" w:styleId="Linkdainternetvisitado">
    <w:name w:val="Link da internet visitado"/>
    <w:qFormat/>
    <w:rsid w:val="00F7406A"/>
    <w:rPr>
      <w:color w:val="800000"/>
      <w:u w:val="single"/>
    </w:rPr>
  </w:style>
  <w:style w:type="character" w:customStyle="1" w:styleId="ncoradanotaderodap">
    <w:name w:val="Âncora da nota de rodapé"/>
    <w:qFormat/>
    <w:rsid w:val="00F7406A"/>
    <w:rPr>
      <w:vertAlign w:val="superscript"/>
    </w:rPr>
  </w:style>
  <w:style w:type="character" w:customStyle="1" w:styleId="ncoradanotadefim">
    <w:name w:val="Âncora da nota de fim"/>
    <w:qFormat/>
    <w:rsid w:val="00F7406A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D40380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rsid w:val="00F7406A"/>
    <w:pPr>
      <w:spacing w:after="140" w:line="276" w:lineRule="auto"/>
    </w:pPr>
  </w:style>
  <w:style w:type="paragraph" w:styleId="Lista">
    <w:name w:val="List"/>
    <w:basedOn w:val="Corpodetexto"/>
    <w:rsid w:val="00F7406A"/>
    <w:rPr>
      <w:rFonts w:ascii="Times New Roman" w:hAnsi="Times New Roman" w:cs="Lohit Devanagari"/>
    </w:rPr>
  </w:style>
  <w:style w:type="paragraph" w:styleId="Legenda">
    <w:name w:val="caption"/>
    <w:basedOn w:val="Normal"/>
    <w:qFormat/>
    <w:rsid w:val="00F7406A"/>
    <w:pPr>
      <w:suppressLineNumbers/>
      <w:spacing w:before="120" w:after="120"/>
    </w:pPr>
    <w:rPr>
      <w:rFonts w:ascii="Times New Roman" w:hAnsi="Times New Roman"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tulo">
    <w:name w:val="Title"/>
    <w:basedOn w:val="Normal"/>
    <w:next w:val="Corpodetexto"/>
    <w:uiPriority w:val="10"/>
    <w:qFormat/>
    <w:rsid w:val="00F7406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ndice">
    <w:name w:val="Índice"/>
    <w:basedOn w:val="Normal"/>
    <w:qFormat/>
    <w:rsid w:val="00F7406A"/>
    <w:pPr>
      <w:suppressLineNumbers/>
    </w:pPr>
    <w:rPr>
      <w:rFonts w:ascii="Times New Roman" w:hAnsi="Times New Roman" w:cs="Lohit Devanagari"/>
    </w:rPr>
  </w:style>
  <w:style w:type="paragraph" w:customStyle="1" w:styleId="CabealhoeRodap">
    <w:name w:val="Cabeçalho e Rodapé"/>
    <w:basedOn w:val="Normal"/>
    <w:qFormat/>
    <w:rsid w:val="00F7406A"/>
  </w:style>
  <w:style w:type="paragraph" w:customStyle="1" w:styleId="HeaderandFooter">
    <w:name w:val="Header and Footer"/>
    <w:basedOn w:val="Normal"/>
    <w:qFormat/>
  </w:style>
  <w:style w:type="paragraph" w:styleId="Rodap">
    <w:name w:val="footer"/>
    <w:basedOn w:val="Normal"/>
    <w:rsid w:val="00F7406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rsid w:val="00F7406A"/>
    <w:pPr>
      <w:ind w:left="720"/>
      <w:contextualSpacing/>
    </w:pPr>
  </w:style>
  <w:style w:type="paragraph" w:styleId="Cabealho">
    <w:name w:val="header"/>
    <w:basedOn w:val="Normal"/>
    <w:rsid w:val="00F7406A"/>
  </w:style>
  <w:style w:type="paragraph" w:styleId="Textodebalo">
    <w:name w:val="Balloon Text"/>
    <w:basedOn w:val="Normal"/>
    <w:qFormat/>
    <w:rsid w:val="00F7406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F7406A"/>
    <w:pPr>
      <w:suppressLineNumbers/>
    </w:pPr>
  </w:style>
  <w:style w:type="paragraph" w:customStyle="1" w:styleId="Ttulodetabela">
    <w:name w:val="Título de tabela"/>
    <w:basedOn w:val="Contedodatabela"/>
    <w:qFormat/>
    <w:rsid w:val="00F7406A"/>
    <w:pPr>
      <w:jc w:val="center"/>
    </w:pPr>
    <w:rPr>
      <w:b/>
      <w:bCs/>
    </w:rPr>
  </w:style>
  <w:style w:type="paragraph" w:customStyle="1" w:styleId="Contedodalista">
    <w:name w:val="Conteúdo da lista"/>
    <w:basedOn w:val="Normal"/>
    <w:qFormat/>
    <w:rsid w:val="00F7406A"/>
    <w:pPr>
      <w:ind w:left="567" w:right="0"/>
    </w:pPr>
  </w:style>
  <w:style w:type="paragraph" w:styleId="Textodenotaderodap">
    <w:name w:val="footnote text"/>
    <w:basedOn w:val="Normal"/>
    <w:rsid w:val="00F7406A"/>
    <w:pPr>
      <w:suppressLineNumbers/>
      <w:ind w:left="339" w:right="0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A9CDA-884C-40C0-9A4D-AEEF6F2C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1334</Words>
  <Characters>7204</Characters>
  <Application>Microsoft Office Word</Application>
  <DocSecurity>0</DocSecurity>
  <Lines>60</Lines>
  <Paragraphs>17</Paragraphs>
  <ScaleCrop>false</ScaleCrop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Veralúcia Rodrigues Barros</dc:creator>
  <dc:description/>
  <cp:lastModifiedBy>AMANDA FELIX RIBEIRO</cp:lastModifiedBy>
  <cp:revision>8</cp:revision>
  <dcterms:created xsi:type="dcterms:W3CDTF">2020-04-15T15:15:00Z</dcterms:created>
  <dcterms:modified xsi:type="dcterms:W3CDTF">2021-08-27T13:49:00Z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