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276" w:rsidRDefault="00FB7FB9">
      <w:pPr>
        <w:spacing w:after="84"/>
        <w:ind w:right="3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CHECKLIST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D7276" w:rsidRDefault="00FB7FB9">
      <w:pPr>
        <w:spacing w:after="143"/>
        <w:ind w:left="4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D7276" w:rsidRDefault="00FB7FB9">
      <w:pPr>
        <w:spacing w:after="20"/>
        <w:ind w:right="6"/>
        <w:jc w:val="center"/>
      </w:pPr>
      <w:r>
        <w:rPr>
          <w:rFonts w:ascii="Times New Roman" w:hAnsi="Times New Roman" w:cs="Times New Roman"/>
          <w:b/>
          <w:sz w:val="20"/>
          <w:szCs w:val="20"/>
          <w:u w:val="single" w:color="000000"/>
        </w:rPr>
        <w:t>Celebração de Termo de Convênio com Municípios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D7276" w:rsidRDefault="00FB7FB9">
      <w:pPr>
        <w:spacing w:after="20"/>
        <w:ind w:right="6"/>
        <w:jc w:val="center"/>
        <w:rPr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Recursos de Emenda Parlamentar Individuais</w:t>
      </w:r>
    </w:p>
    <w:p w:rsidR="007D7276" w:rsidRDefault="00FB7FB9">
      <w:pPr>
        <w:spacing w:after="0"/>
        <w:ind w:left="5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D7276" w:rsidRDefault="00FB7FB9">
      <w:pPr>
        <w:spacing w:after="85"/>
        <w:ind w:left="4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D7276" w:rsidRDefault="00FB7FB9">
      <w:pPr>
        <w:spacing w:after="202"/>
        <w:ind w:left="-5" w:hanging="1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Órgão/Entidade: _______________________________________________________________________________________ </w:t>
      </w:r>
    </w:p>
    <w:p w:rsidR="007D7276" w:rsidRDefault="00FB7FB9">
      <w:pPr>
        <w:spacing w:after="202"/>
        <w:ind w:left="-5" w:hanging="10"/>
        <w:rPr>
          <w:rFonts w:ascii="Times New Roman" w:hAnsi="Times New Roman" w:cs="Times New Roman"/>
          <w:sz w:val="18"/>
          <w:szCs w:val="18"/>
        </w:rPr>
      </w:pPr>
      <w:bookmarkStart w:id="0" w:name="__DdeLink__5989_2983384850"/>
      <w:r>
        <w:rPr>
          <w:rFonts w:ascii="Times New Roman" w:hAnsi="Times New Roman" w:cs="Times New Roman"/>
          <w:sz w:val="18"/>
          <w:szCs w:val="18"/>
        </w:rPr>
        <w:t xml:space="preserve">Prefeitura: ____________________________________________________________________________________________ </w:t>
      </w:r>
      <w:bookmarkEnd w:id="0"/>
    </w:p>
    <w:p w:rsidR="007D7276" w:rsidRDefault="00FB7FB9">
      <w:pPr>
        <w:spacing w:after="202"/>
        <w:ind w:left="-5" w:hanging="1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Deputado: ____________________________________________________________________________________________ </w:t>
      </w:r>
    </w:p>
    <w:p w:rsidR="007D7276" w:rsidRDefault="00FB7FB9">
      <w:pPr>
        <w:spacing w:after="202"/>
        <w:ind w:left="-5" w:hanging="1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Termo de Convênio nº: ________________________</w:t>
      </w:r>
      <w:r>
        <w:rPr>
          <w:rFonts w:ascii="Times New Roman" w:hAnsi="Times New Roman" w:cs="Times New Roman"/>
          <w:sz w:val="18"/>
          <w:szCs w:val="18"/>
        </w:rPr>
        <w:t xml:space="preserve">__ Processo nº: _____________________________________________ </w:t>
      </w:r>
    </w:p>
    <w:p w:rsidR="007D7276" w:rsidRDefault="00FB7FB9">
      <w:pPr>
        <w:spacing w:after="202"/>
        <w:ind w:left="-5" w:hanging="1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Valor R$: ____________________________________ Data do Pagamento: _______________________________________ </w:t>
      </w:r>
    </w:p>
    <w:p w:rsidR="007D7276" w:rsidRDefault="00FB7FB9">
      <w:pPr>
        <w:spacing w:after="10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7D7276" w:rsidRDefault="00FB7FB9">
      <w:pPr>
        <w:spacing w:after="0" w:line="276" w:lineRule="auto"/>
        <w:ind w:right="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u w:val="single" w:color="000000"/>
        </w:rPr>
        <w:t>Convênio</w:t>
      </w:r>
      <w:r>
        <w:rPr>
          <w:rFonts w:ascii="Times New Roman" w:hAnsi="Times New Roman" w:cs="Times New Roman"/>
          <w:b/>
          <w:sz w:val="18"/>
          <w:szCs w:val="18"/>
        </w:rPr>
        <w:t>:</w:t>
      </w:r>
      <w:r>
        <w:rPr>
          <w:rFonts w:ascii="Times New Roman" w:hAnsi="Times New Roman" w:cs="Times New Roman"/>
          <w:sz w:val="18"/>
          <w:szCs w:val="18"/>
        </w:rPr>
        <w:t xml:space="preserve"> Acordo que disciplina a transferência de recursos financeiros de dotações </w:t>
      </w:r>
      <w:r>
        <w:rPr>
          <w:rFonts w:ascii="Times New Roman" w:hAnsi="Times New Roman" w:cs="Times New Roman"/>
          <w:sz w:val="18"/>
          <w:szCs w:val="18"/>
        </w:rPr>
        <w:t>consignadas no orçamento do Estado do Tocantins e tenha como partícipes de um lado, órgãos e entidades da administração pública estadual, direta ou indireta, e, do outro lado, órgão ou entidade da administração pública municipal, direta ou indireta, visand</w:t>
      </w:r>
      <w:r>
        <w:rPr>
          <w:rFonts w:ascii="Times New Roman" w:hAnsi="Times New Roman" w:cs="Times New Roman"/>
          <w:sz w:val="18"/>
          <w:szCs w:val="18"/>
        </w:rPr>
        <w:t xml:space="preserve">o </w:t>
      </w:r>
      <w:proofErr w:type="gramStart"/>
      <w:r>
        <w:rPr>
          <w:rFonts w:ascii="Times New Roman" w:hAnsi="Times New Roman" w:cs="Times New Roman"/>
          <w:sz w:val="18"/>
          <w:szCs w:val="18"/>
        </w:rPr>
        <w:t>a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execução dos programas de governos previstos no plano plurianual e no orçamento anual, de forma a efetivar a execução de ações, sendo elas, projeto ou atividade que contribuam para o alcance dos objetivos dos programas. Instruída pelo Decreto Federal n</w:t>
      </w:r>
      <w:r>
        <w:rPr>
          <w:rFonts w:ascii="Times New Roman" w:hAnsi="Times New Roman" w:cs="Times New Roman"/>
          <w:sz w:val="18"/>
          <w:szCs w:val="18"/>
        </w:rPr>
        <w:t xml:space="preserve">º 6.170/2007; pela Portaria Interministerial nº 424/2016; Instrução Normativa do </w:t>
      </w:r>
      <w:proofErr w:type="spellStart"/>
      <w:r>
        <w:rPr>
          <w:rFonts w:ascii="Times New Roman" w:hAnsi="Times New Roman" w:cs="Times New Roman"/>
          <w:sz w:val="18"/>
          <w:szCs w:val="18"/>
        </w:rPr>
        <w:t>TCE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/TO nº 004/2004 e Decreto Estadual nº 5.815/2018. </w:t>
      </w:r>
    </w:p>
    <w:p w:rsidR="007D7276" w:rsidRDefault="00FB7FB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7D7276" w:rsidRDefault="00FB7FB9">
      <w:pPr>
        <w:spacing w:after="4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Legenda: S = Sim; N = Não; NA = Não se Aplica. </w:t>
      </w:r>
    </w:p>
    <w:tbl>
      <w:tblPr>
        <w:tblStyle w:val="TableGrid"/>
        <w:tblW w:w="9213" w:type="dxa"/>
        <w:tblInd w:w="0" w:type="dxa"/>
        <w:tblLayout w:type="fixed"/>
        <w:tblCellMar>
          <w:top w:w="39" w:type="dxa"/>
          <w:left w:w="46" w:type="dxa"/>
          <w:right w:w="93" w:type="dxa"/>
        </w:tblCellMar>
        <w:tblLook w:val="04A0" w:firstRow="1" w:lastRow="0" w:firstColumn="1" w:lastColumn="0" w:noHBand="0" w:noVBand="1"/>
      </w:tblPr>
      <w:tblGrid>
        <w:gridCol w:w="5573"/>
        <w:gridCol w:w="160"/>
        <w:gridCol w:w="1965"/>
        <w:gridCol w:w="849"/>
        <w:gridCol w:w="666"/>
      </w:tblGrid>
      <w:tr w:rsidR="007D7276">
        <w:trPr>
          <w:trHeight w:val="448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D7276" w:rsidRDefault="00FB7FB9">
            <w:pPr>
              <w:spacing w:after="0" w:line="240" w:lineRule="auto"/>
              <w:ind w:left="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Exigências na Formalização de Procedimentos para</w:t>
            </w:r>
          </w:p>
          <w:p w:rsidR="007D7276" w:rsidRDefault="00FB7FB9">
            <w:pPr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Termo de Convênio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7D7276" w:rsidRDefault="00FB7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Responsável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7D7276" w:rsidRDefault="00FB7FB9">
            <w:pPr>
              <w:spacing w:after="0" w:line="240" w:lineRule="auto"/>
              <w:ind w:left="8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S/N/NA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7D7276" w:rsidRDefault="00FB7FB9">
            <w:pPr>
              <w:spacing w:after="0" w:line="240" w:lineRule="auto"/>
              <w:ind w:left="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Folha</w:t>
            </w:r>
          </w:p>
        </w:tc>
      </w:tr>
      <w:tr w:rsidR="007D7276">
        <w:trPr>
          <w:trHeight w:val="347"/>
        </w:trPr>
        <w:tc>
          <w:tcPr>
            <w:tcW w:w="9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7D7276" w:rsidRDefault="00FB7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FASE DE SOLICITAÇÃO</w:t>
            </w:r>
          </w:p>
        </w:tc>
      </w:tr>
      <w:tr w:rsidR="007D7276">
        <w:trPr>
          <w:trHeight w:val="1566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FB7FB9">
            <w:pPr>
              <w:pStyle w:val="PargrafodaLista"/>
              <w:numPr>
                <w:ilvl w:val="0"/>
                <w:numId w:val="4"/>
              </w:numPr>
              <w:spacing w:after="0" w:line="276" w:lineRule="auto"/>
              <w:ind w:left="567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processo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foi devidamente autuado, protocolado e com numeração de folhas, constando carimbo do órgão e visto do responsável? E se houve apensamento de um novo volume, obedeceu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quantidade máxima de folhas, mediante termo de encerramento e de abertura? (art. 38,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cap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ut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da Lei nº 8.666/93; art. 47 do Decreto Estadual nº 5.815/18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Decreto de Execução Orçamentário-financeira vigente).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left="46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left="8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left="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7276">
        <w:trPr>
          <w:trHeight w:val="706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FB7FB9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567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Consta ofício do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Parlamentar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endereçado à Secretaria da Fazenda e Planejamento, apresentando o programa de trabalho que motiva a celebração do termo de convênio? (art. 5º e 6º, da Lei Federal nº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9.784/99, art.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52, § 2º da Lei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LDO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nº 3.609/2019 e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Decreto de Execução Orçamentário-finan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ceira vigente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left="46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left="8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left="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7276">
        <w:trPr>
          <w:trHeight w:val="347"/>
        </w:trPr>
        <w:tc>
          <w:tcPr>
            <w:tcW w:w="9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7D7276" w:rsidRDefault="00FB7FB9">
            <w:pPr>
              <w:pStyle w:val="PargrafodaLista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FASE DE CADASTRAMENTO</w:t>
            </w:r>
          </w:p>
        </w:tc>
      </w:tr>
      <w:tr w:rsidR="007D7276">
        <w:trPr>
          <w:trHeight w:val="708"/>
        </w:trPr>
        <w:tc>
          <w:tcPr>
            <w:tcW w:w="5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FB7FB9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567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Os documentos exigidos para o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cadastramento</w:t>
            </w:r>
            <w:r>
              <w:rPr>
                <w:rStyle w:val="FootnoteAnchor"/>
                <w:rFonts w:ascii="Times New Roman" w:hAnsi="Times New Roman" w:cs="Times New Roman"/>
                <w:b/>
                <w:sz w:val="18"/>
                <w:szCs w:val="18"/>
              </w:rPr>
              <w:footnoteReference w:id="1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encontram-se atualizados na celebração do convênio? (art. 4º, § 1º, art. 11 inciso I e art. 50-A do Decreto Estadual nº 5.815/18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left="46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left="8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left="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7276">
        <w:trPr>
          <w:trHeight w:val="307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FB7FB9">
            <w:pPr>
              <w:pStyle w:val="PargrafodaLista"/>
              <w:numPr>
                <w:ilvl w:val="0"/>
                <w:numId w:val="1"/>
              </w:numPr>
              <w:spacing w:after="57" w:line="240" w:lineRule="auto"/>
              <w:ind w:left="567" w:right="86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cópia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 cartão do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Cadastro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Nacional de pessoas Jurídicas – CNPJ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razão social, número de inscrição, endereço, telefone e endereço eletrônico. (art. 29, inc. I e II da Lei nº 8.666/93; art. 4º, §2º, inc. I do Decreto Estadual nº 5.815/18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left="46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left="8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left="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7276">
        <w:trPr>
          <w:trHeight w:val="742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FB7FB9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567" w:right="86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Apresentou cópia dos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documentos do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Prefeito ou gestor da entidade?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(RG, CPF, Comprovante de Endereço, Ato de Posse e o diploma) (art. 4º, §2º, inc. V e VI do Decreto Estadual nº 5.815/18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left="1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7276">
        <w:trPr>
          <w:trHeight w:val="955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FB7FB9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567" w:right="87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 município apresentou o endereço do site do Portal da Transparência próprio, disponibilizando de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forma atualizada as informações referentes às despesas e receitas públicas, conforme instrui o art. 73-C da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LC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nº 101/00? (art. 4º, §2º, inc.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VIII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 Decreto Estadual nº 5.815/18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left="1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7276">
        <w:trPr>
          <w:trHeight w:val="667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FB7FB9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567" w:right="139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Apresentou cópia do comprovante do número de habitantes emitido por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instituição oficial? (art. 4º, §2º, inc.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IX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 Decreto Estadual nº 5.815/18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left="1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7276">
        <w:trPr>
          <w:trHeight w:val="667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FB7FB9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567" w:right="139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Consta certidão de adimplência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relativa a outros recursos anteriormente transferidos, a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inadimplência</w:t>
            </w:r>
            <w:r>
              <w:rPr>
                <w:rStyle w:val="FootnoteAnchor"/>
                <w:rFonts w:ascii="Times New Roman" w:hAnsi="Times New Roman" w:cs="Times New Roman"/>
                <w:sz w:val="18"/>
                <w:szCs w:val="18"/>
              </w:rPr>
              <w:footnoteReference w:id="2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não impedirá a instituição de firmar convênio. (art.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50-A do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Decreto Est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adual nº 5.815/18)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left="1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7276">
        <w:trPr>
          <w:trHeight w:val="1109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FB7FB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567" w:right="13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Consta comprovação de que o convenente está cumprindo com os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limites constitucionais relativos à educação e a saúde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conforme inciso VI, §2º, Art. 3º, da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IN-TCE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/TO nº 04/04, c/c alínea “b”,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§1º, Art. 25,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LC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nº 101/00? (art. 50 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parágrafo único do Decreto Estadual nº 5.815/18)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left="1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7276">
        <w:trPr>
          <w:trHeight w:val="765"/>
        </w:trPr>
        <w:tc>
          <w:tcPr>
            <w:tcW w:w="5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FB7FB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567" w:right="139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auto"/>
                <w:sz w:val="18"/>
                <w:szCs w:val="18"/>
              </w:rPr>
              <w:t xml:space="preserve">O convenente encontra-se 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  <w:t>APTO</w:t>
            </w:r>
            <w:r>
              <w:rPr>
                <w:rFonts w:ascii="Times New Roman" w:eastAsia="Arial" w:hAnsi="Times New Roman" w:cs="Times New Roman"/>
                <w:color w:val="auto"/>
                <w:sz w:val="18"/>
                <w:szCs w:val="18"/>
              </w:rPr>
              <w:t xml:space="preserve"> a receber transferências voluntárias de recursos, certificada no Sistema de Acompanhamento de convênios e parcerias? (art.4º, §3º do Decreto Estadual nº 5.815/18</w:t>
            </w:r>
            <w:proofErr w:type="gramStart"/>
            <w:r>
              <w:rPr>
                <w:rFonts w:ascii="Times New Roman" w:eastAsia="Arial" w:hAnsi="Times New Roman" w:cs="Times New Roman"/>
                <w:color w:val="auto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1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left="1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7276">
        <w:trPr>
          <w:trHeight w:val="346"/>
        </w:trPr>
        <w:tc>
          <w:tcPr>
            <w:tcW w:w="9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D7276" w:rsidRDefault="00FB7FB9">
            <w:pPr>
              <w:spacing w:after="0" w:line="240" w:lineRule="auto"/>
              <w:ind w:left="483" w:right="582" w:hanging="28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FASE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DA PROPOSTA</w:t>
            </w:r>
          </w:p>
        </w:tc>
      </w:tr>
      <w:tr w:rsidR="007D7276">
        <w:trPr>
          <w:trHeight w:val="673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FB7FB9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567" w:right="13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Plano de Trabalho e todas as peças que o integram (ou agregam) consta com o status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APROVADO</w:t>
            </w:r>
            <w:r>
              <w:rPr>
                <w:rStyle w:val="FootnoteAnchor"/>
                <w:rFonts w:ascii="Times New Roman" w:eastAsia="Times New Roman" w:hAnsi="Times New Roman" w:cs="Times New Roman"/>
                <w:b/>
                <w:sz w:val="18"/>
                <w:szCs w:val="18"/>
              </w:rPr>
              <w:footnoteReference w:id="3"/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no sistema de Acompanhamento de Convênios e Parcerias?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rt. 116, §1º da Lei nº 8.666/93; art. 21, § 4º da PI nº 424/16; a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rt. 5º,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art. 10, § 2º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 art. 11,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inc.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II do Decreto Estadual nº 5.815/18)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left="1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7276">
        <w:trPr>
          <w:trHeight w:val="781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FB7FB9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567" w:right="1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 proponente apresentou o Plano de Trabalho conforme modelo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padronizado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no endereço </w:t>
            </w:r>
            <w:hyperlink r:id="rId9">
              <w:r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 w:color="0000FF"/>
                </w:rPr>
                <w:t>www.cge.to.gov.br/modelos</w:t>
              </w:r>
            </w:hyperlink>
            <w:hyperlink r:id="rId10">
              <w:r>
                <w:rPr>
                  <w:rFonts w:ascii="Times New Roman" w:hAnsi="Times New Roman" w:cs="Times New Roman"/>
                  <w:color w:val="FF0000"/>
                  <w:sz w:val="18"/>
                  <w:szCs w:val="18"/>
                </w:rPr>
                <w:t xml:space="preserve"> 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>com as seguintes informações: (art. 6º “caput” do Decreto Estadual nº 5.815/18)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left="1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7276">
        <w:trPr>
          <w:trHeight w:val="466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FB7FB9">
            <w:pPr>
              <w:spacing w:after="0" w:line="240" w:lineRule="auto"/>
              <w:ind w:left="567" w:right="159" w:hanging="19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a)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As razões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apresentadas para a celebração do convênio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justificam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 sua necessidade? (art. 6º, inc. I do Decreto estadual nº 5.815/18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left="1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7276">
        <w:trPr>
          <w:trHeight w:val="1109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FB7FB9">
            <w:pPr>
              <w:spacing w:after="0" w:line="240" w:lineRule="auto"/>
              <w:ind w:left="567" w:right="159" w:hanging="19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b)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 descrição completa do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objeto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 ser executado consta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descrito de forma concisa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 padronizado, e, no caso de obras, instalações ou serviços, será integrado o projeto básico ou termo de referência? (art. 14, caput e Art. 7º, inciso I, da Lei nº 8.666/93; art. 6º, inc. II, §1º e art. 10,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§ 2º do Decreto Estadual nº 5.815/18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left="1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7276">
        <w:trPr>
          <w:trHeight w:val="1098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FB7FB9">
            <w:pPr>
              <w:spacing w:after="0" w:line="240" w:lineRule="auto"/>
              <w:ind w:left="567" w:right="159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c)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As descrições das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metas qualitativas e quantitativas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 serem atingidas e as definições das etapas ou fases da execução, consta com respectivos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prazos de execução do objeto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com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previsão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início e fim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?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(art. 3º, §1º,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inc.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II, 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alínea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c, art. 4º da IN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TCE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nº 004/04; art. 6º,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inc.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 Decreto Estadual nº 5.815/18)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left="1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7276">
        <w:trPr>
          <w:trHeight w:val="1109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FB7FB9">
            <w:pPr>
              <w:spacing w:after="0" w:line="240" w:lineRule="auto"/>
              <w:ind w:left="567" w:right="159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d)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  <w:t xml:space="preserve">Consta </w:t>
            </w:r>
            <w:r>
              <w:rPr>
                <w:rFonts w:ascii="Times New Roman" w:eastAsiaTheme="minorHAnsi" w:hAnsi="Times New Roman" w:cs="Times New Roman"/>
                <w:b/>
                <w:bCs/>
                <w:color w:val="auto"/>
                <w:sz w:val="18"/>
                <w:szCs w:val="18"/>
                <w:lang w:eastAsia="en-US"/>
              </w:rPr>
              <w:t>Declaração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  <w:t xml:space="preserve"> de compatibilidade de custos e mapa de preços, elaborado pelo responsável da entidade, indicando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com a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pesquisa prévia</w:t>
            </w:r>
            <w:r>
              <w:rPr>
                <w:rStyle w:val="FootnoteAnchor"/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  <w:footnoteReference w:id="4"/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 xml:space="preserve"> de mercado 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  <w:t>a cotação mais vantajosa para execução do objeto proposto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a fim de comprovar os valores demandados, com efetiva constatação do preço real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praticado no mercado,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observados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os princípios da impessoalidade, moralidade e economicid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ade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(art. 15, inc. V, da Lei 8.666/93; art. 45 da PI nº 424/16; art. 6º, inc. V do Decreto Estadual nº 5.815/18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7276">
        <w:trPr>
          <w:trHeight w:val="1327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FB7FB9">
            <w:pPr>
              <w:spacing w:after="0" w:line="240" w:lineRule="auto"/>
              <w:ind w:left="567" w:right="159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e)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cronograma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 execução do objeto, o cronograma de desembolso e o plano de aplicação dos recursos solicitados e a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contrapartida,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financeira ou não,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 Município, quando houver, estão definidos para cada projeto ou evento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 forma clara e suficiente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?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(art. 4º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inc.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alíneas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“e” e “f” da IN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TCE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nº 004/04; art.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6º,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inc.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VI 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VII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 Decreto Estadual nº 5.815/18)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7276">
        <w:trPr>
          <w:trHeight w:val="792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FB7FB9">
            <w:pPr>
              <w:spacing w:after="0" w:line="240" w:lineRule="auto"/>
              <w:ind w:left="567" w:right="159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f)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Consta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discriminado a estimativa dos recursos financeiros, especificando o valor de cada parcela e o montante dos recursos a ser repassado pela Administração? (art. 6º, inc.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VIII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 Decreto Estadual nº 5.815/18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7276">
        <w:trPr>
          <w:trHeight w:val="1045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FB7FB9">
            <w:pPr>
              <w:spacing w:after="0" w:line="240" w:lineRule="auto"/>
              <w:ind w:left="567" w:right="159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g)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Informar à capacidade técnica e gerencial do proponente para execução do objeto, quando for o caso, indicação de um responsável que acompanhara a obra ou serviço de engenharia?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(art. 7º, § 5º,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inc.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II da PI nº 424/16; art. 5º,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inc.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TCE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nº 004/04; art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6º, inc.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IX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 Decreto Estadual nº 5.815/18)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7276">
        <w:trPr>
          <w:trHeight w:val="1063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FB7FB9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ind w:left="567" w:right="159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 plano de trabalho deverá ser acompanhado de orçamento detalhado, termo de referência ou projeto básico de reforma ou obra, licenças ambientais pertinentes, escritura do imóvel e demais documentos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relacionados ao objeto do convênio? (art. 6º, §2º do Decreto Estadual nº 5.815/18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pStyle w:val="PargrafodaLista"/>
              <w:spacing w:after="0"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pStyle w:val="PargrafodaLista"/>
              <w:spacing w:after="0"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7276">
        <w:trPr>
          <w:trHeight w:val="1109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FB7FB9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ind w:left="567" w:right="159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Quando o convênio envolver necessidade de elaboração de projeto básico, e este for custeado por recursos oriundos do convênio, há que ser observado o limite de 5% (cinco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por cento) de desembolso da concedente voltada para a elaboração do projeto básico? (art. 10, §§ 4º, 5º e 6º do Decreto Estadual nº 5.815/18).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pStyle w:val="PargrafodaLista"/>
              <w:spacing w:after="0"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pStyle w:val="PargrafodaLista"/>
              <w:spacing w:after="0"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pStyle w:val="PargrafodaLista"/>
              <w:spacing w:after="0"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7276">
        <w:trPr>
          <w:trHeight w:val="449"/>
        </w:trPr>
        <w:tc>
          <w:tcPr>
            <w:tcW w:w="9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FB7FB9">
            <w:pPr>
              <w:pStyle w:val="PargrafodaLista"/>
              <w:numPr>
                <w:ilvl w:val="0"/>
                <w:numId w:val="5"/>
              </w:numPr>
              <w:spacing w:before="57" w:after="57" w:line="240" w:lineRule="auto"/>
              <w:ind w:left="567" w:right="184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Tratando-se de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execução de obras e ou serviços de engenharia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recuperação, reforma ampliação, conservação 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construção foram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apresentados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os seguintes documentos:</w:t>
            </w:r>
          </w:p>
        </w:tc>
      </w:tr>
      <w:tr w:rsidR="007D7276">
        <w:trPr>
          <w:trHeight w:val="955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FB7FB9">
            <w:pPr>
              <w:spacing w:before="57" w:after="57" w:line="240" w:lineRule="auto"/>
              <w:ind w:left="567" w:right="159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a)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 objeto que exijam estudos ambientais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 consta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licença ambiental ou autorização ambiental,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forma disciplinada as Resoluções do CONAMA nº 237/97 e do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COEMA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/TO 7/05 previsto na Lei nº 6.938/81?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(art. 11, inc. V do Decreto Estadual nº 5.815/18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7276">
        <w:trPr>
          <w:trHeight w:val="956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FB7FB9">
            <w:pPr>
              <w:spacing w:after="0" w:line="240" w:lineRule="auto"/>
              <w:ind w:left="567" w:right="107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b)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Comprovação do exercício pleno dos poderes inerentes à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propriedade do imóvel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mediante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certidão</w:t>
            </w:r>
            <w:r>
              <w:rPr>
                <w:rStyle w:val="FootnoteAnchor"/>
                <w:rFonts w:ascii="Times New Roman" w:hAnsi="Times New Roman" w:cs="Times New Roman"/>
                <w:sz w:val="18"/>
                <w:szCs w:val="18"/>
              </w:rPr>
              <w:footnoteReference w:id="5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emitida pelo cartório de registro de imóveis competente?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(art. 23,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inc.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IV da PI nº 424/16; art. 4º,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inc.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XIX e da IN/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TCE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nº 004/04; art. 11,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inc.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VI do Decreto Estadual nº 5.815/18)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7276">
        <w:trPr>
          <w:trHeight w:val="451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FB7FB9">
            <w:pPr>
              <w:spacing w:after="0" w:line="240" w:lineRule="auto"/>
              <w:ind w:left="567" w:right="159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c)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Será exigido o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projeto básico, projeto executivo e memorial descritivo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acompanhado de Anotação de Responsabilidade Técnica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ART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contendo elementos necessários e suficientes para caracterizar, de modo preciso, envolvendo técnica, custo, fases, etapas e prazos de execução?  (art. 6º, Inc.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IX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da Lei nº 8.666/93; art. 6º, § 5º da PI nº 424/16; art. 5º, inc. I e II da IN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TCE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/TO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nº 004/04; art. 10, “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caput” 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§1º do Decreto Estadual nº 5.815/18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left="1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7276">
        <w:trPr>
          <w:trHeight w:val="955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FB7FB9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left="567" w:right="44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Consta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Declaração do Convenente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quanto aos recursos referentes à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contrapartida</w:t>
            </w:r>
            <w:r>
              <w:rPr>
                <w:rStyle w:val="FootnoteAnchor"/>
                <w:rFonts w:ascii="Times New Roman" w:hAnsi="Times New Roman" w:cs="Times New Roman"/>
                <w:b/>
                <w:sz w:val="18"/>
                <w:szCs w:val="18"/>
              </w:rPr>
              <w:footnoteReference w:id="6"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para complementar a execução do objeto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u w:val="single" w:color="000000"/>
              </w:rPr>
              <w:t>quando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u w:val="single" w:color="000000"/>
              </w:rPr>
              <w:t>previstos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devidamente assegurado? (Inc. VI 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VII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§ 1º,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art. 3º, da IN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TCE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nº 004/04; art. 9º, §3º do Decreto Estadual nº 5.815/18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right="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7276">
        <w:trPr>
          <w:trHeight w:val="674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FB7FB9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left="567" w:right="40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Consta comprovante de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abertura de conta bancária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específica para o convênio, com o número da conta e agência bancária?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(art. 4º,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inc.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VII da IN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TCE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nº 004/04; art. 11,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inc.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 Decreto Estadual nº 5.815/18)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right="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7276">
        <w:trPr>
          <w:trHeight w:val="676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FB7FB9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left="567" w:right="45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Os documentos foram incluídos e assinados eletronicamente pelo servidor responsável pela inclusão no Sistema de Gestão Eletrônica de Documentos –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SGD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? (art. 4º, § 8º do Decreto Estadual nº 5.815/18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right="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7276">
        <w:trPr>
          <w:trHeight w:val="401"/>
        </w:trPr>
        <w:tc>
          <w:tcPr>
            <w:tcW w:w="9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7D7276" w:rsidRDefault="00FB7FB9">
            <w:pPr>
              <w:pStyle w:val="PargrafodaLista"/>
              <w:spacing w:after="0" w:line="240" w:lineRule="auto"/>
              <w:ind w:left="922" w:right="2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FASE DE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AUTORIZAÇÃO</w:t>
            </w:r>
          </w:p>
        </w:tc>
      </w:tr>
      <w:tr w:rsidR="007D7276">
        <w:trPr>
          <w:trHeight w:val="1331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FB7FB9">
            <w:pPr>
              <w:pStyle w:val="PargrafodaLista"/>
              <w:numPr>
                <w:ilvl w:val="0"/>
                <w:numId w:val="6"/>
              </w:numPr>
              <w:spacing w:after="0" w:line="247" w:lineRule="auto"/>
              <w:ind w:left="567" w:right="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Consta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Parecer Técnico</w:t>
            </w:r>
            <w:r>
              <w:rPr>
                <w:rStyle w:val="FootnoteAnchor"/>
                <w:rFonts w:ascii="Times New Roman" w:hAnsi="Times New Roman" w:cs="Times New Roman"/>
                <w:sz w:val="18"/>
                <w:szCs w:val="18"/>
              </w:rPr>
              <w:footnoteReference w:id="7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 órgão concedente concluindo pela possibilidade de celebração do convênio, caso tenha ressalvas, o administrador público cumpriu o que houve sido ressalvado ou mediante ato formal, justificou as razões pelas quais dei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xou de fazê-lo?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LDO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vigente ao exercício a que se destina; art. 14, “caput” e art. 32, § 1º do Decreto Estadual nº 5.815/18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right="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7276">
        <w:trPr>
          <w:trHeight w:val="1109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FB7FB9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left="567" w:right="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 caso de a concedente identificar irregularidades ou imprecisões no plano de trabalho, e/ou em todas as peças que o agregam,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 proponente se manifestou sanar no prazo estipulado os ajustes solicitados? (art. 20, § 3º da PI nº 424/16; art. 7º, inc. II, alíneas “a” e “b” do Decreto Estadual nº 5.815/18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right="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7276">
        <w:trPr>
          <w:trHeight w:val="1109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FB7FB9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left="567" w:right="9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Consta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Detalhamento de Dotação Orçamentária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DD</w:t>
            </w:r>
            <w:proofErr w:type="spellEnd"/>
            <w:r>
              <w:rPr>
                <w:rStyle w:val="FootnoteAnchor"/>
                <w:rFonts w:ascii="Times New Roman" w:hAnsi="Times New Roman" w:cs="Times New Roman"/>
                <w:sz w:val="18"/>
                <w:szCs w:val="18"/>
              </w:rPr>
              <w:footnoteReference w:id="8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?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Para cobrir a despesa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com a celebração do Termo, como consta no art. 60, da Lei 4.320/64 c/c à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LDO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para o exercício a que se destina? (art. 7º, inc.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I, alínea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“a” e art. 11, inc.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 Decreto Estadual 5.815/18 e Decreto de Execução Orçamentário-financeira vigente)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right="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7276">
        <w:trPr>
          <w:trHeight w:val="262"/>
        </w:trPr>
        <w:tc>
          <w:tcPr>
            <w:tcW w:w="9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D7276" w:rsidRDefault="00FB7FB9">
            <w:pPr>
              <w:spacing w:after="0" w:line="240" w:lineRule="auto"/>
              <w:ind w:right="3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FASE DE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FORMALIZAÇÃO</w:t>
            </w:r>
          </w:p>
        </w:tc>
      </w:tr>
      <w:tr w:rsidR="007D7276">
        <w:trPr>
          <w:trHeight w:val="488"/>
        </w:trPr>
        <w:tc>
          <w:tcPr>
            <w:tcW w:w="9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FB7FB9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ind w:left="567" w:right="18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Constam como Cláusulas obrigatórias para formalização da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minuta do Termo de Convênio em consonância com o Plano de trabalho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(visando a padronização do instrumento)</w:t>
            </w:r>
          </w:p>
        </w:tc>
      </w:tr>
      <w:tr w:rsidR="007D7276">
        <w:trPr>
          <w:trHeight w:val="1109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FB7FB9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No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preâmbulo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 Termo de Convênio, consta a numeração sequencial</w:t>
            </w:r>
            <w:r>
              <w:rPr>
                <w:rStyle w:val="FootnoteAnchor"/>
                <w:rFonts w:ascii="Times New Roman" w:hAnsi="Times New Roman" w:cs="Times New Roman"/>
                <w:sz w:val="18"/>
                <w:szCs w:val="18"/>
              </w:rPr>
              <w:footnoteReference w:id="9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a denomi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nação completa dos partícipes e do interveniente, quando houver, a indicação dos dispositivos legais e a execução às normas das leis em vigor? (art. 26 da PI nº 424/16; art. 12 do Decreto Estadual nº 5.815/18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left="567" w:right="20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left="567" w:right="206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left="567" w:right="208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7276">
        <w:trPr>
          <w:trHeight w:val="1330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FB7FB9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objeto, a finalidade e seus elementos característicos, consta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com a descrição detalhada, objetiva, clara e precisa, do que se pretende realizar ou obter do objeto e seus elementos característicos, em consonância com o Plano de Trabalho, que integrará o ter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mo celebrado independentemente de transcrição? (art. 27, inc. I da PI nº 424/16; art. 13, inc. I do Decreto Estadual nº 5.815/18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left="567" w:right="20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left="567" w:right="206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left="567" w:right="208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7276">
        <w:trPr>
          <w:trHeight w:val="670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FB7FB9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As obrigações de cada um dos partícipes, do interveniente, quando houver, a contrapartida, se prevista? (art. 13, inc. II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 Decreto Estadual nº 5.815/18).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left="567" w:right="20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left="567" w:right="206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left="567" w:right="208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7276">
        <w:trPr>
          <w:trHeight w:val="888"/>
        </w:trPr>
        <w:tc>
          <w:tcPr>
            <w:tcW w:w="5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FB7FB9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 vigência do convênio, fixada de acordo com o prazo previsto para a consecução do objeto e em função das metas estabelecidas, vedado a atribuição de vigência ou de efeitos financeiros retroativos? (art. 27, inc.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 da PI nº 424/16; art. 13, inc. V do Decreto Estadual nº 5.815/18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1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left="567" w:right="20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left="567" w:right="206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left="567" w:right="208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7276">
        <w:trPr>
          <w:trHeight w:val="1109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FB7FB9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 obrigação de a concedente prorrogar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"de ofício"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 vigência do convênio antes do seu término, quando der causa a atraso na liberação dos recursos, limitada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prorrogação ao exato período do atraso verificado? (art. 27, inc. VI da PI 424/16; art. 13, inc. VI do Decreto Estadual nº 5.815/18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left="567" w:right="20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left="567" w:right="206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left="567" w:right="208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7276">
        <w:trPr>
          <w:trHeight w:val="964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FB7FB9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classificação</w:t>
            </w:r>
            <w:r>
              <w:rPr>
                <w:rStyle w:val="FootnoteAnchor"/>
                <w:rFonts w:ascii="Times New Roman" w:hAnsi="Times New Roman" w:cs="Times New Roman"/>
                <w:sz w:val="18"/>
                <w:szCs w:val="18"/>
              </w:rPr>
              <w:footnoteReference w:id="10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orçamentária da despesa, mencionando-se o número e data da nota de empenho – NE que serão classificados, obrigatoriamente, para efeitos contábeis? (art. 13, inc.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VII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 Decreto Estadual nº 5.815/18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left="567" w:right="20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left="567" w:right="206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left="567" w:right="208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7276">
        <w:trPr>
          <w:trHeight w:val="668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FB7FB9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 cronograma de desembolso e o valor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total conforme o Plano de Trabalho, incluindo os recursos da contrapartida pactuada, quando houver? (art. 13, inc.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VIII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 Decreto Estadual nº 5.815/18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left="567" w:right="20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left="567" w:right="206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left="567" w:right="208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7276">
        <w:trPr>
          <w:trHeight w:val="451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FB7FB9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567" w:right="-11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 obrigatoriedade de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o concedente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manter o cadastro do convenente atualizado? (art. 13, inc.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IX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Decreto Estadual nº 5.815/18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left="567" w:right="20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left="567" w:right="206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left="567" w:right="208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7276">
        <w:trPr>
          <w:trHeight w:val="667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FB7FB9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567" w:right="-11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Nos casos previstos de restituição dos recursos, consta indicação da conta bancária para o recolhimento? (art. 27, inc. XI da PI nº 424/16; art. 13, inc. X do Decreto Estadual nº 5.815/18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left="567" w:right="20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left="567" w:right="206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left="567" w:right="208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7276">
        <w:trPr>
          <w:trHeight w:val="408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FB7FB9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567" w:right="-11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A obrigação do convenente de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manter e movimentar os recursos na conta bancária</w:t>
            </w:r>
            <w:r>
              <w:rPr>
                <w:rStyle w:val="FootnoteAnchor"/>
                <w:rFonts w:ascii="Times New Roman" w:hAnsi="Times New Roman" w:cs="Times New Roman"/>
                <w:sz w:val="18"/>
                <w:szCs w:val="18"/>
              </w:rPr>
              <w:footnoteReference w:id="11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específica? (art. 116, § 4º da Lei nº 8.666/93; art. 27, inc.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XIII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da PI nº 424/16; art. 13, inc. XI e art. 29, §1º, inc. I e II do Decreto Estadual nº 5.815/18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left="567" w:right="204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left="567" w:right="206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left="567" w:right="208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7276">
        <w:trPr>
          <w:trHeight w:val="1223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FB7FB9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567" w:right="39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 definição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 se for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 caso, da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titularidade dos bens e direito remanescentes na data da conclusão ou extinção do convênio e que, em razão da execução, tenham sido adquiridos, produzidos ou transformados com recursos repassados pela administração pública? (art. 27, inc.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XIV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da PI nº 424/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16;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art. 13, inc.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XII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XIII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 Decreto Estadual nº 5.815/18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left="567" w:right="116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left="567" w:right="117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left="567" w:right="122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7276">
        <w:trPr>
          <w:trHeight w:val="1330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FB7FB9">
            <w:pPr>
              <w:pStyle w:val="PargrafodaLista"/>
              <w:numPr>
                <w:ilvl w:val="0"/>
                <w:numId w:val="8"/>
              </w:numPr>
              <w:spacing w:after="12" w:line="247" w:lineRule="auto"/>
              <w:ind w:left="567" w:right="42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 forma pela qual a execução física do objeto será acompanhada, com a indicação do Fiscal de Convênio e meios físicos, financeiros e tecnológicos que serão empregados na atividade ou, se for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 caso, a indicação da participação de outros órgãos ou entidades, nos termos previsto no § 3º do art. 55 da PI nº 424/16?</w:t>
            </w:r>
            <w:r>
              <w:rPr>
                <w:rStyle w:val="FootnoteAnchor"/>
                <w:rFonts w:ascii="Times New Roman" w:hAnsi="Times New Roman" w:cs="Times New Roman"/>
                <w:sz w:val="18"/>
                <w:szCs w:val="18"/>
              </w:rPr>
              <w:footnoteReference w:id="12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(art. 27, inc.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XV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da PI nº 424/16; art. 13, inc.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XIV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 Decreto Estadual nº 5.815/18 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LDO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vigente ao exercício a que se destina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left="567" w:right="116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left="567" w:right="117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left="567" w:right="122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7276">
        <w:trPr>
          <w:trHeight w:val="531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FB7FB9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567" w:right="44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livre acesso</w:t>
            </w:r>
            <w:r>
              <w:rPr>
                <w:rStyle w:val="FootnoteAnchor"/>
                <w:rFonts w:ascii="Times New Roman" w:hAnsi="Times New Roman" w:cs="Times New Roman"/>
                <w:sz w:val="18"/>
                <w:szCs w:val="18"/>
              </w:rPr>
              <w:footnoteReference w:id="13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dos servidores dos órgãos ou entidades públicas concedentes e os do controle interno, bem como do Tribunal de Contas correspondente aos processos, aos documentos, e às informações relacionadas ao termo do convênio, bem como aos locais de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execução do respectivo objeto? (art. 27, inc.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XVI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XX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da PI nº 424/16; art. 13, inc.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XV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 Decreto Estadual nº 5.815/18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left="567" w:right="116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left="567" w:right="117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left="567" w:right="122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7276">
        <w:trPr>
          <w:trHeight w:val="670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FB7FB9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567" w:right="44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Definir as situações motivos</w:t>
            </w:r>
            <w:r>
              <w:rPr>
                <w:rStyle w:val="FootnoteAnchor"/>
                <w:rFonts w:ascii="Times New Roman" w:hAnsi="Times New Roman" w:cs="Times New Roman"/>
                <w:sz w:val="18"/>
                <w:szCs w:val="18"/>
              </w:rPr>
              <w:footnoteReference w:id="14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que ensejam a denúncia ou a rescisão do convênio? (art. 13, inc.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XVI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 art. 37 do Decreto Estadual nº 5.815/18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left="567" w:right="116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left="567" w:right="117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left="567" w:right="122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7276">
        <w:trPr>
          <w:trHeight w:val="1330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FB7FB9">
            <w:pPr>
              <w:pStyle w:val="PargrafodaLista"/>
              <w:numPr>
                <w:ilvl w:val="0"/>
                <w:numId w:val="8"/>
              </w:numPr>
              <w:spacing w:after="1" w:line="240" w:lineRule="auto"/>
              <w:ind w:left="567" w:right="43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 faculdade dos partícipes rescindirem o convênio, a qualquer tempo, com as respectivas condições, sanções e delimitações claras de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responsabilidades, além da estipulação de prazo mínimo de antecedência para a publicidade dessa intenção, que não poderá ser inferior a 60 (sessenta) dias? (art.  27, inc.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XVII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da PI nº 424/16; art. 13, inc.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XVII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 Decreto Estadual nº 5.815/18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left="567" w:right="116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left="567" w:right="117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left="567" w:right="122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7276">
        <w:trPr>
          <w:trHeight w:val="248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FB7FB9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567" w:right="41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 previsão de extinção obrigatória do instrumento em caso de o projeto básico ou termo de referência não ter sido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aprovados ou apresentado no prazo estabelecido (na hipótese de haver cláusula condicionante)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quando for o caso?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(art. 27,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inc.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XVIII da PI nº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424/16; art. 10, § 3º e art. 13,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inc.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XVIII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 Decreto Estadual nº 5.815/18)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left="567" w:right="116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left="567" w:right="117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left="567" w:right="122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7276">
        <w:trPr>
          <w:trHeight w:val="1254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FB7FB9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567" w:right="40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A indicação do foro para dirimir as dúvidas decorrentes da execução do convênio, estabelecendo a obrigatoriedade da prévia tentativa de solução administrativa, com 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participação de órgão encarregado de assessoramento jurídico integrante da estrutura da administração pública? (art. 27, inc.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XIX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da PI nº 424/16; art. 13, inc.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XIX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 Decreto Estadual nº 5.815/18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left="567" w:right="116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left="567" w:right="117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left="567" w:right="122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7276">
        <w:trPr>
          <w:trHeight w:val="1088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FB7FB9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 obrigação do convenente de prestar contas dos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recursos recebidos e devolver os saldos remanescentes, com definição de forma, metodologia e prazos estipulados? (art. 116, § 6º da Lei nº 8.666/93; art. 27, inc.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XXIV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XXVII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da PI nº 424/16; art. 13, inc.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XX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XXI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 Decreto Estadual nº 5.815/18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left="567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left="567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left="567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7276">
        <w:trPr>
          <w:trHeight w:val="494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FB7FB9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567" w:right="-11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Qua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ndo houver, definir as obrigações da unidade executora? (art. 13, inc.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XXII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 Decreto Estadual nº 5.815/18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left="567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left="567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left="567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7276">
        <w:trPr>
          <w:trHeight w:val="828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FB7FB9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567" w:right="-11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 obrigação da concedente de dispor de condições e de estrutura para o acompanhamento e verificação da execução do objeto e o cumprimento dos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prazos relativos à prestação de contas? (art. 13, inc.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XXIII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 Decreto Estadual nº 5.815/18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left="567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left="567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left="567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7276">
        <w:trPr>
          <w:trHeight w:val="808"/>
        </w:trPr>
        <w:tc>
          <w:tcPr>
            <w:tcW w:w="5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FB7FB9">
            <w:pPr>
              <w:pStyle w:val="PargrafodaLista"/>
              <w:numPr>
                <w:ilvl w:val="0"/>
                <w:numId w:val="8"/>
              </w:numPr>
              <w:spacing w:after="0" w:line="247" w:lineRule="auto"/>
              <w:ind w:left="567" w:right="-11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 obrigação</w:t>
            </w:r>
            <w:r>
              <w:rPr>
                <w:rStyle w:val="FootnoteAnchor"/>
                <w:rFonts w:ascii="Times New Roman" w:hAnsi="Times New Roman" w:cs="Times New Roman"/>
                <w:sz w:val="18"/>
                <w:szCs w:val="18"/>
              </w:rPr>
              <w:footnoteReference w:id="15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da concedente em notificar o convenente previamente, quando detectadas impropriedades ou irregularidades no acompanhamento da execução do objeto do convênio? (art. 13, inc.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XXIV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 Decreto Estadual nº 5.815/18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1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left="567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left="567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left="567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7276">
        <w:trPr>
          <w:trHeight w:val="753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FB7FB9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567" w:right="-11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 vedação para o convenente de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estabelecer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subconvênio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subcontratação ou equiparados com outros órgãos entidades ou organizações da sociedade civil? (art. 13, inc.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XXV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 Decreto Estadual nº 5.815/18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left="567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left="567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left="567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7276">
        <w:trPr>
          <w:trHeight w:val="654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FB7FB9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Consta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definido as competências e responsabilidades da concedente? (art. 6º da PI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nº424/16, art.13 inciso II do Decreto Estadual nº 5.815/18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left="567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left="567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left="567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7276">
        <w:trPr>
          <w:trHeight w:val="592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FB7FB9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Consta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inseridas as competências e responsabilidades do convenente? (art. 7º da PI nº 424/16, art.13, inciso II do Decreto Estadual nº 5.815/18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left="567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left="567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left="567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7276">
        <w:trPr>
          <w:trHeight w:val="1055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FB7FB9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ind w:left="567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Consta definido a previsão da dedução do valor total do recurso da parceria para realizar </w:t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  <w:t>despesas administrativas relacionadas às ações de fiscalização e acompanhamento, descrita no Plano de trabalho? (</w:t>
            </w:r>
            <w:proofErr w:type="spellStart"/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  <w:t>LDO</w:t>
            </w:r>
            <w:proofErr w:type="spellEnd"/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  <w:t xml:space="preserve"> vigente, art. 39, § 4º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do Decreto Estadual nº 5.8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16/18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left="567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left="567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left="567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7276">
        <w:trPr>
          <w:trHeight w:val="953"/>
        </w:trPr>
        <w:tc>
          <w:tcPr>
            <w:tcW w:w="5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FB7FB9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Consta a previsão da obrigação de o convenente manter os documentos relacionados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execução do convênio pelo prazo de 10 (dez) anos, contados da data em que foi aprovada a prestação de contas? (art. 4º, § 3º da PI nº 424/16, art.43 do Decreto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Estadual nº 5.815/18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1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left="1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left="1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7276">
        <w:trPr>
          <w:trHeight w:val="1143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FB7FB9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Consta previsão de que o termo do convênio poderá ser alterado mediante proposta, devidamente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formalizada e justificada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a ser apresentada à concedente em, no mínimo, 30 (trinta) dias antes do término de sua vigência ou no prazo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nele estipulado, vedado a alteração do objeto aprovado? (art. 36 PI nº 424/16; art. 20 do Decreto Estadual nº 5.815/18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left="1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left="1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7276">
        <w:trPr>
          <w:trHeight w:val="276"/>
        </w:trPr>
        <w:tc>
          <w:tcPr>
            <w:tcW w:w="9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D7276" w:rsidRDefault="00FB7FB9">
            <w:pPr>
              <w:pStyle w:val="PargrafodaLista"/>
              <w:spacing w:after="0" w:line="240" w:lineRule="auto"/>
              <w:ind w:left="9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FASE DE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CONTRATUALIZAÇÃO</w:t>
            </w:r>
            <w:proofErr w:type="spellEnd"/>
          </w:p>
        </w:tc>
      </w:tr>
      <w:tr w:rsidR="007D7276">
        <w:trPr>
          <w:trHeight w:val="634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FB7FB9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Consta autorizada a liberação da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Nota de Empenho - 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? (Decreto de Execução Orçamentário-financeira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vigente; art. 7º, inc.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I, alínea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“b” do Decreto Estadual nº 5.815/18)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left="1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left="1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7276">
        <w:trPr>
          <w:trHeight w:hRule="exact" w:val="1041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FB7FB9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lastRenderedPageBreak/>
              <w:t xml:space="preserve">O </w:t>
            </w:r>
            <w:r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</w:rPr>
              <w:t>original do Termo do Convênio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consta assinado</w:t>
            </w:r>
            <w:r>
              <w:rPr>
                <w:rStyle w:val="FootnoteAnchor"/>
                <w:rFonts w:ascii="Times New Roman" w:eastAsia="Arial" w:hAnsi="Times New Roman" w:cs="Times New Roman"/>
                <w:sz w:val="18"/>
                <w:szCs w:val="18"/>
              </w:rPr>
              <w:footnoteReference w:id="16"/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pelas partes,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estando todas devidamente qualificadas, como cumprimento do ato inicial do procedimento de execução de despesa, tal qual consta 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no Decreto Orçamentário vigente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? (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art. 15 e 16 do Decreto Estadual nº 5.815/18 c/c o Decreto nº 4.029/2010)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left="1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left="1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7276">
        <w:trPr>
          <w:trHeight w:val="670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FB7FB9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  <w:t>Caso não tiveram</w:t>
            </w:r>
            <w:proofErr w:type="gramEnd"/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  <w:t xml:space="preserve"> o termo do convênio celebrado até o final do exercício financeiro, foram cancelados</w:t>
            </w:r>
            <w:r>
              <w:rPr>
                <w:rStyle w:val="FootnoteAnchor"/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  <w:footnoteReference w:id="17"/>
            </w:r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  <w:t xml:space="preserve"> os </w:t>
            </w:r>
            <w:proofErr w:type="spellStart"/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  <w:t>pré</w:t>
            </w:r>
            <w:proofErr w:type="spellEnd"/>
            <w:r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/>
              </w:rPr>
              <w:t>-empenhos e empenhos das propostas? (art. 29 da PI nº 424/16)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7276">
        <w:trPr>
          <w:trHeight w:val="307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FB7FB9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Consta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Parecer Jurídico</w:t>
            </w:r>
            <w:r>
              <w:rPr>
                <w:rStyle w:val="FootnoteAnchor"/>
                <w:rFonts w:ascii="Times New Roman" w:eastAsia="Arial" w:hAnsi="Times New Roman" w:cs="Times New Roman"/>
                <w:sz w:val="18"/>
                <w:szCs w:val="18"/>
              </w:rPr>
              <w:footnoteReference w:id="18"/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do termo do convênio e os respectivos termos aditivos, quando for o caso, previamente examinados e aprovados pelo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Jurídico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do Órgão ou pela Procuradoria Geral do Estado, conforme o caso? (Decreto de Execução Orçamentário-financeira vigente; art. 38, inc. 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VI, da Lei nº 8.666/93; art. 14, §2º e art. 22 do Decreto Estadual nº 5.815/18</w:t>
            </w:r>
            <w:proofErr w:type="gram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right="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right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right="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7276">
        <w:trPr>
          <w:trHeight w:val="670"/>
        </w:trPr>
        <w:tc>
          <w:tcPr>
            <w:tcW w:w="5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FB7FB9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567" w:right="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 extrato do convênio (art. 62, da Lei n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8.666/93) foi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publicado</w:t>
            </w:r>
            <w:r>
              <w:rPr>
                <w:rStyle w:val="FootnoteAnchor"/>
                <w:rFonts w:ascii="Times New Roman" w:hAnsi="Times New Roman" w:cs="Times New Roman"/>
                <w:b/>
                <w:sz w:val="18"/>
                <w:szCs w:val="18"/>
              </w:rPr>
              <w:footnoteReference w:id="19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no DOE e seu comprovante foi anexado ao processo? (art. 61,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parágrafo único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Lei nº 8.666/93; art. 17 do Decreto Estadual nº 5.815/18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1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right="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right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right="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7276">
        <w:trPr>
          <w:trHeight w:val="383"/>
        </w:trPr>
        <w:tc>
          <w:tcPr>
            <w:tcW w:w="9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D7276" w:rsidRDefault="00FB7FB9">
            <w:pPr>
              <w:pStyle w:val="PargrafodaLista"/>
              <w:spacing w:after="0" w:line="240" w:lineRule="auto"/>
              <w:ind w:left="922" w:right="18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FASE DE EXECUÇÃO DO CONVÊNIO</w:t>
            </w:r>
          </w:p>
        </w:tc>
      </w:tr>
      <w:tr w:rsidR="007D7276">
        <w:trPr>
          <w:trHeight w:val="889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FB7FB9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567" w:righ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Consta a publicado</w:t>
            </w:r>
            <w:r>
              <w:rPr>
                <w:rStyle w:val="FootnoteAnchor"/>
                <w:rFonts w:ascii="Times New Roman" w:hAnsi="Times New Roman" w:cs="Times New Roman"/>
                <w:sz w:val="18"/>
                <w:szCs w:val="18"/>
              </w:rPr>
              <w:footnoteReference w:id="20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 designação do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 w:color="000000"/>
              </w:rPr>
              <w:t>fiscal de convênio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que deverá acompanhar a execução do objeto, no DOE no prazo máximo de 10 (dez) dias contados da assinatura do convênio? (art. 67, Lei nº 8.666/93; art. 34 do Decreto Estadual nº 5.815/18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right="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right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right="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7276">
        <w:trPr>
          <w:trHeight w:val="1059"/>
        </w:trPr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FB7FB9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ind w:left="567" w:right="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Consta o encaminhamento da comunicação</w:t>
            </w:r>
            <w:r>
              <w:rPr>
                <w:rStyle w:val="FootnoteAnchor"/>
                <w:rFonts w:ascii="Times New Roman" w:hAnsi="Times New Roman" w:cs="Times New Roman"/>
                <w:sz w:val="18"/>
                <w:szCs w:val="18"/>
              </w:rPr>
              <w:footnoteReference w:id="21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que a concedente procedeu dando ciência da assinatura do Convênio para a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Assembleia Legislativa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 o Tribunal de Contas do Estado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? (art. 116, § 2º da Lei nº 8.666/93; art. 19 e § único do Decreto Estadual nº 5.815/18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right="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right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ind w:right="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7276">
        <w:trPr>
          <w:trHeight w:val="575"/>
        </w:trPr>
        <w:tc>
          <w:tcPr>
            <w:tcW w:w="5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FB7FB9">
            <w:pPr>
              <w:pStyle w:val="PargrafodaLista"/>
              <w:numPr>
                <w:ilvl w:val="0"/>
                <w:numId w:val="9"/>
              </w:numPr>
              <w:spacing w:after="0" w:line="276" w:lineRule="auto"/>
              <w:ind w:left="567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Consta a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Nota de Liquidação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–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NL</w:t>
            </w:r>
            <w:proofErr w:type="spellEnd"/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,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Programa de Desembolso – </w:t>
            </w:r>
            <w:proofErr w:type="spellStart"/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PD</w:t>
            </w:r>
            <w:proofErr w:type="spellEnd"/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com a descrição clara e sucinta do ato realizado, com data dentro do exercício financeiro da liberação da emenda parlamentar? (art. 11 do Decreto Orçamentário nº 6.237/2021 e art. 64 da Lei Federal nº 4.320/64)</w:t>
            </w:r>
          </w:p>
        </w:tc>
        <w:tc>
          <w:tcPr>
            <w:tcW w:w="21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7276">
        <w:trPr>
          <w:trHeight w:val="734"/>
        </w:trPr>
        <w:tc>
          <w:tcPr>
            <w:tcW w:w="5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FB7FB9">
            <w:pPr>
              <w:pStyle w:val="PargrafodaLista"/>
              <w:numPr>
                <w:ilvl w:val="0"/>
                <w:numId w:val="9"/>
              </w:numPr>
              <w:spacing w:after="0" w:line="276" w:lineRule="auto"/>
              <w:ind w:left="567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Consta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autorização de pagamento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devidamente preenchida e assinada pela autoridade competente?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(art. 61, inc.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III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e art. 25 do Decreto Orçamentário nº 6.237/2021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1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D7276" w:rsidRDefault="00FB7FB9">
      <w:pPr>
        <w:spacing w:after="3" w:line="264" w:lineRule="auto"/>
        <w:ind w:left="-5" w:hanging="1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Apontamentos: </w:t>
      </w:r>
    </w:p>
    <w:tbl>
      <w:tblPr>
        <w:tblStyle w:val="TableGrid"/>
        <w:tblW w:w="9290" w:type="dxa"/>
        <w:tblInd w:w="-109" w:type="dxa"/>
        <w:tblLayout w:type="fixed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290"/>
      </w:tblGrid>
      <w:tr w:rsidR="007D7276">
        <w:trPr>
          <w:trHeight w:val="377"/>
        </w:trPr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7276">
        <w:trPr>
          <w:trHeight w:val="377"/>
        </w:trPr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7276">
        <w:trPr>
          <w:trHeight w:val="377"/>
        </w:trPr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tabs>
                <w:tab w:val="left" w:pos="4021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7276">
        <w:trPr>
          <w:trHeight w:val="377"/>
        </w:trPr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7276">
        <w:trPr>
          <w:trHeight w:val="377"/>
        </w:trPr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7276">
        <w:trPr>
          <w:trHeight w:val="377"/>
        </w:trPr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276" w:rsidRDefault="007D727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7D7276" w:rsidRDefault="007D7276">
      <w:pPr>
        <w:tabs>
          <w:tab w:val="center" w:pos="1924"/>
          <w:tab w:val="center" w:pos="4683"/>
          <w:tab w:val="center" w:pos="7294"/>
        </w:tabs>
        <w:spacing w:after="3" w:line="264" w:lineRule="auto"/>
        <w:rPr>
          <w:rFonts w:ascii="Times New Roman" w:hAnsi="Times New Roman" w:cs="Times New Roman"/>
          <w:sz w:val="18"/>
          <w:szCs w:val="18"/>
        </w:rPr>
      </w:pPr>
    </w:p>
    <w:p w:rsidR="007D7276" w:rsidRDefault="00FB7FB9">
      <w:pPr>
        <w:tabs>
          <w:tab w:val="center" w:pos="1924"/>
          <w:tab w:val="center" w:pos="4683"/>
          <w:tab w:val="center" w:pos="7294"/>
        </w:tabs>
        <w:spacing w:after="3" w:line="264" w:lineRule="auto"/>
        <w:jc w:val="center"/>
        <w:rPr>
          <w:rFonts w:ascii="Times New Roman" w:eastAsia="Arial" w:hAnsi="Times New Roman" w:cs="Times New Roman"/>
          <w:b/>
          <w:sz w:val="18"/>
          <w:szCs w:val="18"/>
        </w:rPr>
      </w:pPr>
      <w:r>
        <w:rPr>
          <w:rFonts w:ascii="Times New Roman" w:eastAsia="Arial" w:hAnsi="Times New Roman" w:cs="Times New Roman"/>
          <w:b/>
          <w:sz w:val="18"/>
          <w:szCs w:val="18"/>
        </w:rPr>
        <w:t>Assinatura e Matrícula do Servidor</w:t>
      </w:r>
    </w:p>
    <w:p w:rsidR="00FB7FB9" w:rsidRDefault="00FB7FB9">
      <w:pPr>
        <w:tabs>
          <w:tab w:val="center" w:pos="1924"/>
          <w:tab w:val="center" w:pos="4683"/>
          <w:tab w:val="center" w:pos="7294"/>
        </w:tabs>
        <w:spacing w:after="3" w:line="264" w:lineRule="auto"/>
        <w:jc w:val="center"/>
        <w:rPr>
          <w:rFonts w:ascii="Times New Roman" w:eastAsia="Arial" w:hAnsi="Times New Roman" w:cs="Times New Roman"/>
          <w:b/>
          <w:sz w:val="18"/>
          <w:szCs w:val="18"/>
        </w:rPr>
      </w:pPr>
    </w:p>
    <w:tbl>
      <w:tblPr>
        <w:tblW w:w="0" w:type="auto"/>
        <w:tblInd w:w="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0"/>
      </w:tblGrid>
      <w:tr w:rsidR="00FB7FB9" w:rsidTr="00FB7FB9">
        <w:tblPrEx>
          <w:tblCellMar>
            <w:top w:w="0" w:type="dxa"/>
            <w:bottom w:w="0" w:type="dxa"/>
          </w:tblCellMar>
        </w:tblPrEx>
        <w:trPr>
          <w:trHeight w:val="1029"/>
        </w:trPr>
        <w:tc>
          <w:tcPr>
            <w:tcW w:w="3450" w:type="dxa"/>
          </w:tcPr>
          <w:p w:rsidR="00FB7FB9" w:rsidRDefault="00FB7FB9">
            <w:pPr>
              <w:tabs>
                <w:tab w:val="center" w:pos="1924"/>
                <w:tab w:val="center" w:pos="4683"/>
                <w:tab w:val="center" w:pos="7294"/>
              </w:tabs>
              <w:spacing w:after="3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GoBack"/>
            <w:bookmarkEnd w:id="1"/>
          </w:p>
        </w:tc>
      </w:tr>
    </w:tbl>
    <w:p w:rsidR="00FB7FB9" w:rsidRDefault="00FB7FB9">
      <w:pPr>
        <w:tabs>
          <w:tab w:val="center" w:pos="1924"/>
          <w:tab w:val="center" w:pos="4683"/>
          <w:tab w:val="center" w:pos="7294"/>
        </w:tabs>
        <w:spacing w:after="3" w:line="264" w:lineRule="auto"/>
        <w:jc w:val="center"/>
        <w:rPr>
          <w:rFonts w:ascii="Times New Roman" w:hAnsi="Times New Roman" w:cs="Times New Roman"/>
          <w:sz w:val="18"/>
          <w:szCs w:val="18"/>
        </w:rPr>
      </w:pPr>
    </w:p>
    <w:sectPr w:rsidR="00FB7FB9">
      <w:headerReference w:type="default" r:id="rId11"/>
      <w:pgSz w:w="11906" w:h="16838"/>
      <w:pgMar w:top="2156" w:right="1130" w:bottom="1700" w:left="1702" w:header="354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B7FB9">
      <w:pPr>
        <w:spacing w:after="0" w:line="240" w:lineRule="auto"/>
      </w:pPr>
      <w:r>
        <w:separator/>
      </w:r>
    </w:p>
  </w:endnote>
  <w:endnote w:type="continuationSeparator" w:id="0">
    <w:p w:rsidR="00000000" w:rsidRDefault="00FB7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Source Han Sans CN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276" w:rsidRDefault="00FB7FB9">
      <w:pPr>
        <w:rPr>
          <w:sz w:val="12"/>
        </w:rPr>
      </w:pPr>
      <w:r>
        <w:separator/>
      </w:r>
    </w:p>
  </w:footnote>
  <w:footnote w:type="continuationSeparator" w:id="0">
    <w:p w:rsidR="007D7276" w:rsidRDefault="00FB7FB9">
      <w:pPr>
        <w:rPr>
          <w:sz w:val="12"/>
        </w:rPr>
      </w:pPr>
      <w:r>
        <w:continuationSeparator/>
      </w:r>
    </w:p>
  </w:footnote>
  <w:footnote w:id="1">
    <w:p w:rsidR="007D7276" w:rsidRDefault="00FB7FB9">
      <w:pPr>
        <w:pStyle w:val="footnotedescription"/>
        <w:widowControl w:val="0"/>
        <w:jc w:val="both"/>
      </w:pPr>
      <w:r>
        <w:rPr>
          <w:rStyle w:val="FootnoteCharacters"/>
        </w:rPr>
        <w:footnoteRef/>
      </w:r>
      <w:r>
        <w:rPr>
          <w:rFonts w:ascii="Times New Roman" w:hAnsi="Times New Roman" w:cs="Times New Roman"/>
          <w:szCs w:val="16"/>
        </w:rPr>
        <w:t xml:space="preserve"> </w:t>
      </w:r>
      <w:r>
        <w:rPr>
          <w:rFonts w:ascii="Times New Roman" w:hAnsi="Times New Roman" w:cs="Times New Roman"/>
          <w:szCs w:val="16"/>
        </w:rPr>
        <w:t xml:space="preserve">O </w:t>
      </w:r>
      <w:r>
        <w:rPr>
          <w:rFonts w:ascii="Times New Roman" w:hAnsi="Times New Roman" w:cs="Times New Roman"/>
          <w:b/>
          <w:szCs w:val="16"/>
        </w:rPr>
        <w:t>cadastramento</w:t>
      </w:r>
      <w:r>
        <w:rPr>
          <w:rFonts w:ascii="Times New Roman" w:hAnsi="Times New Roman" w:cs="Times New Roman"/>
          <w:szCs w:val="16"/>
        </w:rPr>
        <w:t xml:space="preserve"> deverá ser realizado no Sistema de Acompanhamento de Convênios e Parcerias, no endereço</w:t>
      </w:r>
      <w:r>
        <w:t xml:space="preserve"> </w:t>
      </w:r>
      <w:hyperlink r:id="rId1">
        <w:r>
          <w:rPr>
            <w:rStyle w:val="Hyperlink"/>
          </w:rPr>
          <w:t>http://www.gestao.cge.to.gov.br/convenios/apl_Login/</w:t>
        </w:r>
      </w:hyperlink>
      <w:r>
        <w:rPr>
          <w:rFonts w:ascii="Times New Roman" w:hAnsi="Times New Roman" w:cs="Times New Roman"/>
          <w:szCs w:val="16"/>
        </w:rPr>
        <w:t xml:space="preserve"> </w:t>
      </w:r>
      <w:hyperlink r:id="rId2">
        <w:r>
          <w:rPr>
            <w:rStyle w:val="LinkdaInternet"/>
            <w:rFonts w:ascii="Times New Roman" w:hAnsi="Times New Roman" w:cs="Times New Roman"/>
            <w:szCs w:val="16"/>
          </w:rPr>
          <w:t xml:space="preserve">, </w:t>
        </w:r>
      </w:hyperlink>
      <w:r>
        <w:rPr>
          <w:rFonts w:ascii="Times New Roman" w:hAnsi="Times New Roman" w:cs="Times New Roman"/>
          <w:szCs w:val="16"/>
        </w:rPr>
        <w:t>ou em outro que vier a substituí-lo.</w:t>
      </w:r>
    </w:p>
  </w:footnote>
  <w:footnote w:id="2">
    <w:p w:rsidR="007D7276" w:rsidRDefault="00FB7FB9">
      <w:pPr>
        <w:pStyle w:val="Textodenotaderodap"/>
        <w:widowControl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FootnoteCharacters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No caso de inadimplência de municípios identificada no Serviço </w:t>
      </w:r>
      <w:proofErr w:type="gramStart"/>
      <w:r>
        <w:rPr>
          <w:rFonts w:ascii="Times New Roman" w:hAnsi="Times New Roman" w:cs="Times New Roman"/>
          <w:sz w:val="16"/>
          <w:szCs w:val="16"/>
        </w:rPr>
        <w:t>Auxiliar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de Informação para Transferências Voluntárias - </w:t>
      </w:r>
      <w:proofErr w:type="spellStart"/>
      <w:r>
        <w:rPr>
          <w:rFonts w:ascii="Times New Roman" w:hAnsi="Times New Roman" w:cs="Times New Roman"/>
          <w:sz w:val="16"/>
          <w:szCs w:val="16"/>
        </w:rPr>
        <w:t>CAUC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e em certidões estaduais, bem assim naquelas e</w:t>
      </w:r>
      <w:r>
        <w:rPr>
          <w:rFonts w:ascii="Times New Roman" w:hAnsi="Times New Roman" w:cs="Times New Roman"/>
          <w:sz w:val="16"/>
          <w:szCs w:val="16"/>
        </w:rPr>
        <w:t xml:space="preserve">mitidas pelo Tribunal de Contas do Estado - </w:t>
      </w:r>
      <w:proofErr w:type="spellStart"/>
      <w:r>
        <w:rPr>
          <w:rFonts w:ascii="Times New Roman" w:hAnsi="Times New Roman" w:cs="Times New Roman"/>
          <w:sz w:val="16"/>
          <w:szCs w:val="16"/>
        </w:rPr>
        <w:t>TCE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não impede assinatura de convênios e a transferência dos respectivos recursos financeiros relativos ao orçamento vigente (art. 32, §5º da </w:t>
      </w:r>
      <w:proofErr w:type="spellStart"/>
      <w:r>
        <w:rPr>
          <w:rFonts w:ascii="Times New Roman" w:hAnsi="Times New Roman" w:cs="Times New Roman"/>
          <w:sz w:val="16"/>
          <w:szCs w:val="16"/>
        </w:rPr>
        <w:t>LDO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nº 3.609/2019)</w:t>
      </w:r>
    </w:p>
  </w:footnote>
  <w:footnote w:id="3">
    <w:p w:rsidR="007D7276" w:rsidRDefault="00FB7FB9">
      <w:pPr>
        <w:pStyle w:val="Textodenotaderodap"/>
        <w:widowControl w:val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FootnoteCharacters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A Administração ao analisar o plano de trabalho, poderá ser deferido por meio da inclusão no Sistema de Acompanhamento de Convênios e Parcerias, no endereço </w:t>
      </w:r>
      <w:hyperlink r:id="rId3">
        <w:r>
          <w:rPr>
            <w:rStyle w:val="Hyperlink"/>
            <w:rFonts w:ascii="Times New Roman" w:hAnsi="Times New Roman" w:cs="Times New Roman"/>
            <w:sz w:val="16"/>
            <w:szCs w:val="16"/>
          </w:rPr>
          <w:t>http://www.gestao.cge.to.go</w:t>
        </w:r>
        <w:r>
          <w:rPr>
            <w:rStyle w:val="Hyperlink"/>
            <w:rFonts w:ascii="Times New Roman" w:hAnsi="Times New Roman" w:cs="Times New Roman"/>
            <w:sz w:val="16"/>
            <w:szCs w:val="16"/>
          </w:rPr>
          <w:t>v.br/convenios/apl_Login/</w:t>
        </w:r>
      </w:hyperlink>
      <w:r>
        <w:rPr>
          <w:rFonts w:ascii="Times New Roman" w:hAnsi="Times New Roman" w:cs="Times New Roman"/>
          <w:sz w:val="16"/>
          <w:szCs w:val="16"/>
        </w:rPr>
        <w:t xml:space="preserve">, ou em outro que vier a substituí-lo, ou comunicará ao proponente as irregularidades ou imprecisões que deverão ser sanadas no prazo estabelecido </w:t>
      </w:r>
      <w:proofErr w:type="gramStart"/>
      <w:r>
        <w:rPr>
          <w:rFonts w:ascii="Times New Roman" w:hAnsi="Times New Roman" w:cs="Times New Roman"/>
          <w:sz w:val="16"/>
          <w:szCs w:val="16"/>
        </w:rPr>
        <w:t>pelo concedente</w:t>
      </w:r>
      <w:proofErr w:type="gramEnd"/>
      <w:r>
        <w:rPr>
          <w:rFonts w:ascii="Times New Roman" w:hAnsi="Times New Roman" w:cs="Times New Roman"/>
          <w:sz w:val="16"/>
          <w:szCs w:val="16"/>
        </w:rPr>
        <w:t>, ensejando, em casos de não atendimento, seu indeferimento. O projet</w:t>
      </w:r>
      <w:r>
        <w:rPr>
          <w:rFonts w:ascii="Times New Roman" w:hAnsi="Times New Roman" w:cs="Times New Roman"/>
          <w:sz w:val="16"/>
          <w:szCs w:val="16"/>
        </w:rPr>
        <w:t>o básico ou o termo de referência deverá ser apresentado no prazo fixado no instrumento.</w:t>
      </w:r>
    </w:p>
  </w:footnote>
  <w:footnote w:id="4">
    <w:p w:rsidR="007D7276" w:rsidRDefault="00FB7FB9">
      <w:pPr>
        <w:pStyle w:val="Textodenotaderodap"/>
        <w:widowControl w:val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FootnoteCharacters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As entidades privadas sem fins lucrativos poderão utilizar-se do </w:t>
      </w:r>
      <w:r>
        <w:rPr>
          <w:rFonts w:ascii="Times New Roman" w:hAnsi="Times New Roman" w:cs="Times New Roman"/>
          <w:b/>
          <w:sz w:val="16"/>
          <w:szCs w:val="16"/>
        </w:rPr>
        <w:t xml:space="preserve">Sistema de Registro de Preços -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SRP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dos entes federados.</w:t>
      </w:r>
    </w:p>
  </w:footnote>
  <w:footnote w:id="5">
    <w:p w:rsidR="007D7276" w:rsidRDefault="00FB7FB9">
      <w:pPr>
        <w:pStyle w:val="footnotedescription"/>
        <w:widowControl w:val="0"/>
        <w:spacing w:line="235" w:lineRule="auto"/>
        <w:ind w:right="35"/>
        <w:jc w:val="both"/>
      </w:pPr>
      <w:r>
        <w:rPr>
          <w:rStyle w:val="FootnoteCharacters"/>
        </w:rPr>
        <w:footnoteRef/>
      </w:r>
      <w:r>
        <w:rPr>
          <w:rFonts w:ascii="Times New Roman" w:hAnsi="Times New Roman" w:cs="Times New Roman"/>
        </w:rPr>
        <w:t xml:space="preserve"> Poderá ser aceita, para autorização de </w:t>
      </w:r>
      <w:r>
        <w:rPr>
          <w:rFonts w:ascii="Times New Roman" w:hAnsi="Times New Roman" w:cs="Times New Roman"/>
        </w:rPr>
        <w:t xml:space="preserve">início do objeto ajustado, declaração do Chefe do Poder Executivo, sob as penas do art. 299 do Código Penal, de que o convenente é detentor da posse da área objeto da intervenção, quando se tratar de área pública, devendo a regularização formal </w:t>
      </w:r>
      <w:proofErr w:type="gramStart"/>
      <w:r>
        <w:rPr>
          <w:rFonts w:ascii="Times New Roman" w:hAnsi="Times New Roman" w:cs="Times New Roman"/>
        </w:rPr>
        <w:t>da propried</w:t>
      </w:r>
      <w:r>
        <w:rPr>
          <w:rFonts w:ascii="Times New Roman" w:hAnsi="Times New Roman" w:cs="Times New Roman"/>
        </w:rPr>
        <w:t>ade ser</w:t>
      </w:r>
      <w:proofErr w:type="gramEnd"/>
      <w:r>
        <w:rPr>
          <w:rFonts w:ascii="Times New Roman" w:hAnsi="Times New Roman" w:cs="Times New Roman"/>
        </w:rPr>
        <w:t xml:space="preserve"> comprovada até o final da execução do objeto do instrumento. Alternativamente à certidão, admite-se, por interesse público ou social, condicionadas à garantia subjacente de uso pelo prazo mínimo de 20 (vinte) anos, nos seguintes termos do art. 23 d</w:t>
      </w:r>
      <w:r>
        <w:rPr>
          <w:rFonts w:ascii="Times New Roman" w:hAnsi="Times New Roman" w:cs="Times New Roman"/>
        </w:rPr>
        <w:t>a PI nº 424/16.</w:t>
      </w:r>
    </w:p>
  </w:footnote>
  <w:footnote w:id="6">
    <w:p w:rsidR="007D7276" w:rsidRDefault="00FB7FB9">
      <w:pPr>
        <w:pStyle w:val="footnotedescription"/>
        <w:widowControl w:val="0"/>
        <w:spacing w:line="259" w:lineRule="auto"/>
        <w:jc w:val="both"/>
      </w:pPr>
      <w:r>
        <w:rPr>
          <w:rStyle w:val="FootnoteCharacters"/>
        </w:rPr>
        <w:footnoteRef/>
      </w:r>
      <w:r>
        <w:rPr>
          <w:rFonts w:ascii="Times New Roman" w:hAnsi="Times New Roman" w:cs="Times New Roman"/>
        </w:rPr>
        <w:t xml:space="preserve"> A </w:t>
      </w:r>
      <w:r>
        <w:rPr>
          <w:rFonts w:ascii="Times New Roman" w:hAnsi="Times New Roman" w:cs="Times New Roman"/>
          <w:b/>
        </w:rPr>
        <w:t>contrapartida</w:t>
      </w:r>
      <w:r>
        <w:rPr>
          <w:rFonts w:ascii="Times New Roman" w:hAnsi="Times New Roman" w:cs="Times New Roman"/>
        </w:rPr>
        <w:t xml:space="preserve"> poderá ser atendia por meio de recursos, </w:t>
      </w:r>
      <w:r>
        <w:rPr>
          <w:rFonts w:ascii="Times New Roman" w:hAnsi="Times New Roman" w:cs="Times New Roman"/>
          <w:b/>
        </w:rPr>
        <w:t>financeiro ou não</w:t>
      </w:r>
      <w:r>
        <w:rPr>
          <w:rFonts w:ascii="Times New Roman" w:hAnsi="Times New Roman" w:cs="Times New Roman"/>
        </w:rPr>
        <w:t xml:space="preserve">, desde que economicamente mensuráveis: </w:t>
      </w:r>
      <w:r>
        <w:rPr>
          <w:rFonts w:ascii="Times New Roman" w:hAnsi="Times New Roman" w:cs="Times New Roman"/>
          <w:u w:val="single" w:color="000000"/>
        </w:rPr>
        <w:t>financeira</w:t>
      </w:r>
      <w:r>
        <w:rPr>
          <w:rFonts w:ascii="Times New Roman" w:hAnsi="Times New Roman" w:cs="Times New Roman"/>
        </w:rPr>
        <w:t xml:space="preserve"> deverá ser depositada na conta bancária especifica do convenio e em conformidade com os prazos estabelecidos no c</w:t>
      </w:r>
      <w:r>
        <w:rPr>
          <w:rFonts w:ascii="Times New Roman" w:hAnsi="Times New Roman" w:cs="Times New Roman"/>
        </w:rPr>
        <w:t xml:space="preserve">ronograma de desembolso; a </w:t>
      </w:r>
      <w:r>
        <w:rPr>
          <w:rFonts w:ascii="Times New Roman" w:hAnsi="Times New Roman" w:cs="Times New Roman"/>
          <w:u w:val="single" w:color="000000"/>
        </w:rPr>
        <w:t>não financeira</w:t>
      </w:r>
      <w:r>
        <w:rPr>
          <w:rFonts w:ascii="Times New Roman" w:hAnsi="Times New Roman" w:cs="Times New Roman"/>
        </w:rPr>
        <w:t xml:space="preserve">, quando aceita </w:t>
      </w:r>
      <w:proofErr w:type="gramStart"/>
      <w:r>
        <w:rPr>
          <w:rFonts w:ascii="Times New Roman" w:hAnsi="Times New Roman" w:cs="Times New Roman"/>
        </w:rPr>
        <w:t>pelo concedente</w:t>
      </w:r>
      <w:proofErr w:type="gramEnd"/>
      <w:r>
        <w:rPr>
          <w:rFonts w:ascii="Times New Roman" w:hAnsi="Times New Roman" w:cs="Times New Roman"/>
        </w:rPr>
        <w:t>, será atendida por meio de bens e serviços, desde que relacionados ao objeto do convênio,  devendo ser apresentado memória de cálculo que permita mensurar economicamente o valor a ser</w:t>
      </w:r>
      <w:r>
        <w:rPr>
          <w:rFonts w:ascii="Times New Roman" w:hAnsi="Times New Roman" w:cs="Times New Roman"/>
        </w:rPr>
        <w:t xml:space="preserve"> aportado. Art. 9º, §1º e §2º do Decreto Estadual nº 5.815/18.</w:t>
      </w:r>
    </w:p>
  </w:footnote>
  <w:footnote w:id="7">
    <w:p w:rsidR="007D7276" w:rsidRDefault="00FB7FB9">
      <w:pPr>
        <w:pStyle w:val="footnotedescription"/>
        <w:widowControl w:val="0"/>
        <w:spacing w:line="259" w:lineRule="auto"/>
        <w:jc w:val="both"/>
      </w:pPr>
      <w:r>
        <w:rPr>
          <w:rStyle w:val="FootnoteCharacters"/>
        </w:rPr>
        <w:footnoteRef/>
      </w:r>
      <w:r>
        <w:rPr>
          <w:rFonts w:ascii="Times New Roman" w:hAnsi="Times New Roman" w:cs="Times New Roman"/>
        </w:rPr>
        <w:t xml:space="preserve"> No parecer técnico deverá ser pronunciado de forma expressa, a respeito do mérito da proposta, da modalidade da parceria adotada; da identidade, da reciprocidade de interesse das partes; da v</w:t>
      </w:r>
      <w:r>
        <w:rPr>
          <w:rFonts w:ascii="Times New Roman" w:hAnsi="Times New Roman" w:cs="Times New Roman"/>
        </w:rPr>
        <w:t>iabilidade de execução e verificação do cronograma de desembolso; descrever quais os meios que serão utilizados para fiscalizá-la e avaliar (física e financeira) a execução, e o cumprimento das metas e objetivos.</w:t>
      </w:r>
    </w:p>
  </w:footnote>
  <w:footnote w:id="8">
    <w:p w:rsidR="007D7276" w:rsidRDefault="00FB7FB9">
      <w:pPr>
        <w:pStyle w:val="footnotedescription"/>
        <w:widowControl w:val="0"/>
        <w:spacing w:line="259" w:lineRule="auto"/>
        <w:jc w:val="both"/>
        <w:rPr>
          <w:rFonts w:ascii="Times New Roman" w:hAnsi="Times New Roman" w:cs="Times New Roman"/>
        </w:rPr>
      </w:pPr>
      <w:r>
        <w:rPr>
          <w:rStyle w:val="FootnoteCharacters"/>
        </w:rPr>
        <w:footnoteRef/>
      </w:r>
      <w:r>
        <w:rPr>
          <w:rFonts w:ascii="Times New Roman" w:hAnsi="Times New Roman" w:cs="Times New Roman"/>
        </w:rPr>
        <w:t xml:space="preserve"> As situações que tratam de exercícios fin</w:t>
      </w:r>
      <w:r>
        <w:rPr>
          <w:rFonts w:ascii="Times New Roman" w:hAnsi="Times New Roman" w:cs="Times New Roman"/>
        </w:rPr>
        <w:t xml:space="preserve">anceiros futuros não se aplicam às emendas parlamentares individuais de natureza impositivas, devido sua vinculação à Lei Orçamentária Anual. (art. 37, § 2º da </w:t>
      </w:r>
      <w:proofErr w:type="spellStart"/>
      <w:r>
        <w:rPr>
          <w:rFonts w:ascii="Times New Roman" w:hAnsi="Times New Roman" w:cs="Times New Roman"/>
        </w:rPr>
        <w:t>LDO</w:t>
      </w:r>
      <w:proofErr w:type="spellEnd"/>
      <w:r>
        <w:rPr>
          <w:rFonts w:ascii="Times New Roman" w:hAnsi="Times New Roman" w:cs="Times New Roman"/>
        </w:rPr>
        <w:t xml:space="preserve"> nº 3.609/2019</w:t>
      </w:r>
      <w:proofErr w:type="gramStart"/>
      <w:r>
        <w:rPr>
          <w:rFonts w:ascii="Times New Roman" w:hAnsi="Times New Roman" w:cs="Times New Roman"/>
        </w:rPr>
        <w:t>)</w:t>
      </w:r>
      <w:proofErr w:type="gramEnd"/>
    </w:p>
  </w:footnote>
  <w:footnote w:id="9">
    <w:p w:rsidR="007D7276" w:rsidRDefault="00FB7FB9">
      <w:pPr>
        <w:pStyle w:val="footnotedescription"/>
        <w:widowControl w:val="0"/>
        <w:spacing w:line="259" w:lineRule="auto"/>
        <w:jc w:val="both"/>
        <w:rPr>
          <w:rFonts w:ascii="Times New Roman" w:hAnsi="Times New Roman" w:cs="Times New Roman"/>
        </w:rPr>
      </w:pPr>
      <w:r>
        <w:rPr>
          <w:rStyle w:val="FootnoteCharacters"/>
        </w:rPr>
        <w:footnoteRef/>
      </w:r>
      <w:r>
        <w:rPr>
          <w:rFonts w:ascii="Times New Roman" w:hAnsi="Times New Roman" w:cs="Times New Roman"/>
        </w:rPr>
        <w:t xml:space="preserve"> A numeração sequencial será emitida pelo Sistema de Acompanhamento de Convê</w:t>
      </w:r>
      <w:r>
        <w:rPr>
          <w:rFonts w:ascii="Times New Roman" w:hAnsi="Times New Roman" w:cs="Times New Roman"/>
        </w:rPr>
        <w:t xml:space="preserve">nios e Parcerias, no endereço </w:t>
      </w:r>
      <w:hyperlink r:id="rId4">
        <w:r>
          <w:rPr>
            <w:rStyle w:val="Hyperlink"/>
            <w:rFonts w:ascii="Times New Roman" w:hAnsi="Times New Roman" w:cs="Times New Roman"/>
            <w:szCs w:val="16"/>
          </w:rPr>
          <w:t>http://www.gestao.cge.to.gov.br/convenios/apl_Login/</w:t>
        </w:r>
      </w:hyperlink>
      <w:r>
        <w:rPr>
          <w:rFonts w:ascii="Times New Roman" w:hAnsi="Times New Roman" w:cs="Times New Roman"/>
        </w:rPr>
        <w:t>, ou em outro que vier a substituí-lo.</w:t>
      </w:r>
    </w:p>
  </w:footnote>
  <w:footnote w:id="10">
    <w:p w:rsidR="007D7276" w:rsidRDefault="00FB7FB9">
      <w:pPr>
        <w:pStyle w:val="footnotedescription"/>
        <w:widowControl w:val="0"/>
        <w:spacing w:line="216" w:lineRule="auto"/>
        <w:ind w:right="467"/>
        <w:jc w:val="both"/>
        <w:rPr>
          <w:rFonts w:ascii="Times New Roman" w:hAnsi="Times New Roman" w:cs="Times New Roman"/>
        </w:rPr>
      </w:pPr>
      <w:r>
        <w:rPr>
          <w:rStyle w:val="FootnoteCharacters"/>
        </w:rPr>
        <w:footnoteRef/>
      </w:r>
      <w:r>
        <w:rPr>
          <w:rFonts w:ascii="Times New Roman" w:hAnsi="Times New Roman" w:cs="Times New Roman"/>
        </w:rPr>
        <w:t xml:space="preserve"> A classificação da despesa conforme o Manual Técnico de Orçam</w:t>
      </w:r>
      <w:r>
        <w:rPr>
          <w:rFonts w:ascii="Times New Roman" w:hAnsi="Times New Roman" w:cs="Times New Roman"/>
        </w:rPr>
        <w:t>ento e a Lei de Diretrizes Orçamentárias Estadual vigente</w:t>
      </w:r>
      <w:proofErr w:type="gramStart"/>
      <w:r>
        <w:rPr>
          <w:rFonts w:ascii="Times New Roman" w:hAnsi="Times New Roman" w:cs="Times New Roman"/>
        </w:rPr>
        <w:t>, deve</w:t>
      </w:r>
      <w:proofErr w:type="gramEnd"/>
      <w:r>
        <w:rPr>
          <w:rFonts w:ascii="Times New Roman" w:hAnsi="Times New Roman" w:cs="Times New Roman"/>
        </w:rPr>
        <w:t xml:space="preserve"> ser obrigatoriamente classificado nos elementos de despesas “41 - Contribuições”, “42 – Auxílio” ou “43 – Subvenções Sociais”</w:t>
      </w:r>
    </w:p>
  </w:footnote>
  <w:footnote w:id="11">
    <w:p w:rsidR="007D7276" w:rsidRDefault="00FB7FB9">
      <w:pPr>
        <w:pStyle w:val="footnotedescription"/>
        <w:widowControl w:val="0"/>
        <w:spacing w:line="259" w:lineRule="auto"/>
        <w:jc w:val="both"/>
      </w:pPr>
      <w:r>
        <w:rPr>
          <w:rStyle w:val="FootnoteCharacters"/>
        </w:rPr>
        <w:footnoteRef/>
      </w:r>
      <w:r>
        <w:rPr>
          <w:rFonts w:ascii="Times New Roman" w:hAnsi="Times New Roman" w:cs="Times New Roman"/>
        </w:rPr>
        <w:t xml:space="preserve"> Os recursos serão depositados e geridos na conta bancária especí</w:t>
      </w:r>
      <w:r>
        <w:rPr>
          <w:rFonts w:ascii="Times New Roman" w:hAnsi="Times New Roman" w:cs="Times New Roman"/>
        </w:rPr>
        <w:t xml:space="preserve">fica do convênio, em nome do convenente, em instituição financeira oficial, deverão ser </w:t>
      </w:r>
      <w:proofErr w:type="gramStart"/>
      <w:r>
        <w:rPr>
          <w:rFonts w:ascii="Times New Roman" w:hAnsi="Times New Roman" w:cs="Times New Roman"/>
        </w:rPr>
        <w:t>aplicados em cadernetas de poupança, fundo de aplicação financeira de curto prazo</w:t>
      </w:r>
      <w:proofErr w:type="gramEnd"/>
      <w:r>
        <w:rPr>
          <w:rFonts w:ascii="Times New Roman" w:hAnsi="Times New Roman" w:cs="Times New Roman"/>
        </w:rPr>
        <w:t xml:space="preserve">, enquanto não utilizados na sua finalidade. Art.10º, §§ 4º e 5º do Decreto Federal nº </w:t>
      </w:r>
      <w:r>
        <w:rPr>
          <w:rFonts w:ascii="Times New Roman" w:hAnsi="Times New Roman" w:cs="Times New Roman"/>
        </w:rPr>
        <w:t>6.170/</w:t>
      </w:r>
      <w:proofErr w:type="gramStart"/>
      <w:r>
        <w:rPr>
          <w:rFonts w:ascii="Times New Roman" w:hAnsi="Times New Roman" w:cs="Times New Roman"/>
        </w:rPr>
        <w:t>07</w:t>
      </w:r>
      <w:proofErr w:type="gramEnd"/>
    </w:p>
  </w:footnote>
  <w:footnote w:id="12">
    <w:p w:rsidR="007D7276" w:rsidRDefault="00FB7FB9">
      <w:pPr>
        <w:pStyle w:val="footnotedescription"/>
        <w:widowControl w:val="0"/>
        <w:spacing w:line="259" w:lineRule="auto"/>
        <w:jc w:val="both"/>
      </w:pPr>
      <w:r>
        <w:rPr>
          <w:rStyle w:val="FootnoteCharacters"/>
        </w:rPr>
        <w:footnoteRef/>
      </w:r>
      <w:r>
        <w:rPr>
          <w:rFonts w:ascii="Times New Roman" w:hAnsi="Times New Roman" w:cs="Times New Roman"/>
        </w:rPr>
        <w:t xml:space="preserve"> A administração pública promoverá o acompanhamento da execução física do cumprimento do objeto. Poderá valer-se do apoio técnico de terceiros que, no caso dos empreendimentos enquadrados no inciso </w:t>
      </w:r>
      <w:proofErr w:type="spellStart"/>
      <w:r>
        <w:rPr>
          <w:rFonts w:ascii="Times New Roman" w:hAnsi="Times New Roman" w:cs="Times New Roman"/>
        </w:rPr>
        <w:t>III</w:t>
      </w:r>
      <w:proofErr w:type="spellEnd"/>
      <w:r>
        <w:rPr>
          <w:rFonts w:ascii="Times New Roman" w:hAnsi="Times New Roman" w:cs="Times New Roman"/>
        </w:rPr>
        <w:t xml:space="preserve"> do art. 3º da PI nº 424/16, deve ser acompan</w:t>
      </w:r>
      <w:r>
        <w:rPr>
          <w:rFonts w:ascii="Times New Roman" w:hAnsi="Times New Roman" w:cs="Times New Roman"/>
        </w:rPr>
        <w:t xml:space="preserve">hado por funcionário do quadro permanente da mandatária, que participará da equipe e assinará em conjunto os documentos técnicos; delegar competência ou firmar </w:t>
      </w:r>
      <w:proofErr w:type="gramStart"/>
      <w:r>
        <w:rPr>
          <w:rFonts w:ascii="Times New Roman" w:hAnsi="Times New Roman" w:cs="Times New Roman"/>
        </w:rPr>
        <w:t>parcerias com órgãos ou entidades que se situem próximos ao local de aplicação dos recursos, com</w:t>
      </w:r>
      <w:r>
        <w:rPr>
          <w:rFonts w:ascii="Times New Roman" w:hAnsi="Times New Roman" w:cs="Times New Roman"/>
        </w:rPr>
        <w:t xml:space="preserve"> tal finalidade</w:t>
      </w:r>
      <w:proofErr w:type="gramEnd"/>
      <w:r>
        <w:rPr>
          <w:rFonts w:ascii="Times New Roman" w:hAnsi="Times New Roman" w:cs="Times New Roman"/>
        </w:rPr>
        <w:t>; e  reorientar ações e decidir quanto a aceitação de justificativas sobre impropriedades identificadas na execução do instrumento.</w:t>
      </w:r>
    </w:p>
  </w:footnote>
  <w:footnote w:id="13">
    <w:p w:rsidR="007D7276" w:rsidRDefault="00FB7FB9">
      <w:pPr>
        <w:pStyle w:val="footnotedescription"/>
        <w:widowControl w:val="0"/>
        <w:spacing w:line="259" w:lineRule="auto"/>
        <w:jc w:val="both"/>
      </w:pPr>
      <w:r>
        <w:rPr>
          <w:rStyle w:val="FootnoteCharacters"/>
        </w:rPr>
        <w:footnoteRef/>
      </w:r>
      <w:r>
        <w:rPr>
          <w:rFonts w:ascii="Times New Roman" w:hAnsi="Times New Roman" w:cs="Times New Roman"/>
        </w:rPr>
        <w:t xml:space="preserve"> A obrigação de o convenente inserir cláusula nos contratos celebrados para execução do instrumento que perm</w:t>
      </w:r>
      <w:r>
        <w:rPr>
          <w:rFonts w:ascii="Times New Roman" w:hAnsi="Times New Roman" w:cs="Times New Roman"/>
        </w:rPr>
        <w:t xml:space="preserve">itam o livre acesso dos servidores do órgão ou entidade pública concedente, bem como dos órgãos de controle, aos documentos e registros contábeis das empresas contratadas, na forma dos </w:t>
      </w:r>
      <w:proofErr w:type="spellStart"/>
      <w:r>
        <w:rPr>
          <w:rFonts w:ascii="Times New Roman" w:hAnsi="Times New Roman" w:cs="Times New Roman"/>
        </w:rPr>
        <w:t>arts</w:t>
      </w:r>
      <w:proofErr w:type="spellEnd"/>
      <w:r>
        <w:rPr>
          <w:rFonts w:ascii="Times New Roman" w:hAnsi="Times New Roman" w:cs="Times New Roman"/>
        </w:rPr>
        <w:t>. 45 e 49 a 51 da PI nº 424/16;</w:t>
      </w:r>
    </w:p>
  </w:footnote>
  <w:footnote w:id="14">
    <w:p w:rsidR="007D7276" w:rsidRDefault="00FB7FB9">
      <w:pPr>
        <w:pStyle w:val="footnotedescription"/>
        <w:widowControl w:val="0"/>
        <w:spacing w:line="259" w:lineRule="auto"/>
        <w:jc w:val="both"/>
      </w:pPr>
      <w:r>
        <w:rPr>
          <w:rStyle w:val="FootnoteCharacters"/>
        </w:rPr>
        <w:footnoteRef/>
      </w:r>
      <w:r>
        <w:rPr>
          <w:rFonts w:ascii="Times New Roman" w:hAnsi="Times New Roman" w:cs="Times New Roman"/>
        </w:rPr>
        <w:t xml:space="preserve"> Constituem motivos para rescisão </w:t>
      </w:r>
      <w:r>
        <w:rPr>
          <w:rFonts w:ascii="Times New Roman" w:hAnsi="Times New Roman" w:cs="Times New Roman"/>
        </w:rPr>
        <w:t xml:space="preserve">unilateral do convênio, a critério </w:t>
      </w:r>
      <w:proofErr w:type="gramStart"/>
      <w:r>
        <w:rPr>
          <w:rFonts w:ascii="Times New Roman" w:hAnsi="Times New Roman" w:cs="Times New Roman"/>
        </w:rPr>
        <w:t>do concedente</w:t>
      </w:r>
      <w:proofErr w:type="gramEnd"/>
      <w:r>
        <w:rPr>
          <w:rFonts w:ascii="Times New Roman" w:hAnsi="Times New Roman" w:cs="Times New Roman"/>
        </w:rPr>
        <w:t xml:space="preserve">: I - o inadimplemento de qualquer das cláusulas pactuadas; II - a constatação, a qualquer tempo, de falsidade ou incorreção de informação em qualquer documento apresentado; </w:t>
      </w:r>
      <w:proofErr w:type="spellStart"/>
      <w:r>
        <w:rPr>
          <w:rFonts w:ascii="Times New Roman" w:hAnsi="Times New Roman" w:cs="Times New Roman"/>
        </w:rPr>
        <w:t>III</w:t>
      </w:r>
      <w:proofErr w:type="spellEnd"/>
      <w:r>
        <w:rPr>
          <w:rFonts w:ascii="Times New Roman" w:hAnsi="Times New Roman" w:cs="Times New Roman"/>
        </w:rPr>
        <w:t xml:space="preserve"> - o não cumprimento das metas </w:t>
      </w:r>
      <w:r>
        <w:rPr>
          <w:rFonts w:ascii="Times New Roman" w:hAnsi="Times New Roman" w:cs="Times New Roman"/>
        </w:rPr>
        <w:t xml:space="preserve">fixadas ou a utilização dos recursos em desacordo com o plano de trabalho, sem prévia autorização do concedente; </w:t>
      </w:r>
      <w:proofErr w:type="spellStart"/>
      <w:r>
        <w:rPr>
          <w:rFonts w:ascii="Times New Roman" w:hAnsi="Times New Roman" w:cs="Times New Roman"/>
        </w:rPr>
        <w:t>IV</w:t>
      </w:r>
      <w:proofErr w:type="spellEnd"/>
      <w:r>
        <w:rPr>
          <w:rFonts w:ascii="Times New Roman" w:hAnsi="Times New Roman" w:cs="Times New Roman"/>
        </w:rPr>
        <w:t xml:space="preserve"> - a aplicação financeira dos recursos em desacordo com o disposto neste Decreto; V - a falta de apresentação, nos prazos estabelecidos, ou a</w:t>
      </w:r>
      <w:r>
        <w:rPr>
          <w:rFonts w:ascii="Times New Roman" w:hAnsi="Times New Roman" w:cs="Times New Roman"/>
        </w:rPr>
        <w:t xml:space="preserve"> não aprovação da prestação de contas parcial; VI - a verificação de qualquer circunstância que enseje a instauração de Tomada de Contas Especial.</w:t>
      </w:r>
    </w:p>
  </w:footnote>
  <w:footnote w:id="15">
    <w:p w:rsidR="007D7276" w:rsidRDefault="00FB7FB9">
      <w:pPr>
        <w:pStyle w:val="footnotedescription"/>
        <w:widowControl w:val="0"/>
        <w:spacing w:line="259" w:lineRule="auto"/>
        <w:jc w:val="both"/>
        <w:rPr>
          <w:rFonts w:ascii="Times New Roman" w:hAnsi="Times New Roman" w:cs="Times New Roman"/>
        </w:rPr>
      </w:pPr>
      <w:r>
        <w:rPr>
          <w:rStyle w:val="FootnoteCharacters"/>
        </w:rPr>
        <w:footnoteRef/>
      </w:r>
      <w:r>
        <w:rPr>
          <w:rFonts w:ascii="Times New Roman" w:hAnsi="Times New Roman" w:cs="Times New Roman"/>
        </w:rPr>
        <w:t xml:space="preserve"> Ao detectar impropriedades ou irregularidades no acompanhamento da execução do objeto do convênio, </w:t>
      </w:r>
      <w:proofErr w:type="gramStart"/>
      <w:r>
        <w:rPr>
          <w:rFonts w:ascii="Times New Roman" w:hAnsi="Times New Roman" w:cs="Times New Roman"/>
        </w:rPr>
        <w:t>o conced</w:t>
      </w:r>
      <w:r>
        <w:rPr>
          <w:rFonts w:ascii="Times New Roman" w:hAnsi="Times New Roman" w:cs="Times New Roman"/>
        </w:rPr>
        <w:t>ente</w:t>
      </w:r>
      <w:proofErr w:type="gramEnd"/>
      <w:r>
        <w:rPr>
          <w:rFonts w:ascii="Times New Roman" w:hAnsi="Times New Roman" w:cs="Times New Roman"/>
        </w:rPr>
        <w:t xml:space="preserve"> deve inscrever como </w:t>
      </w:r>
      <w:r>
        <w:rPr>
          <w:rFonts w:ascii="Times New Roman" w:hAnsi="Times New Roman" w:cs="Times New Roman"/>
          <w:b/>
        </w:rPr>
        <w:t>inadimplente</w:t>
      </w:r>
      <w:r>
        <w:rPr>
          <w:rFonts w:ascii="Times New Roman" w:hAnsi="Times New Roman" w:cs="Times New Roman"/>
        </w:rPr>
        <w:t xml:space="preserve"> no Sistema de Acompanhamento de Convênios e Parcerias no endereço </w:t>
      </w:r>
      <w:hyperlink r:id="rId5">
        <w:r>
          <w:rPr>
            <w:rStyle w:val="Hyperlink"/>
            <w:rFonts w:ascii="Times New Roman" w:hAnsi="Times New Roman" w:cs="Times New Roman"/>
            <w:color w:val="4472C4" w:themeColor="accent1"/>
            <w:szCs w:val="16"/>
          </w:rPr>
          <w:t>http://www.gestao.cge.to.gov.br/convenios/apl_Login/</w:t>
        </w:r>
      </w:hyperlink>
      <w:r>
        <w:rPr>
          <w:rFonts w:ascii="Times New Roman" w:hAnsi="Times New Roman" w:cs="Times New Roman"/>
          <w:color w:val="4472C4" w:themeColor="accent1"/>
        </w:rPr>
        <w:t xml:space="preserve"> </w:t>
      </w:r>
      <w:hyperlink r:id="rId6">
        <w:r>
          <w:rPr>
            <w:rStyle w:val="LinkdaInternet"/>
            <w:rFonts w:ascii="Times New Roman" w:hAnsi="Times New Roman" w:cs="Times New Roman"/>
            <w:u w:val="none"/>
          </w:rPr>
          <w:t xml:space="preserve">, </w:t>
        </w:r>
      </w:hyperlink>
      <w:r>
        <w:rPr>
          <w:rFonts w:ascii="Times New Roman" w:hAnsi="Times New Roman" w:cs="Times New Roman"/>
        </w:rPr>
        <w:t>ou em outro que vier a substituí-lo.</w:t>
      </w:r>
    </w:p>
  </w:footnote>
  <w:footnote w:id="16">
    <w:p w:rsidR="007D7276" w:rsidRDefault="00FB7FB9">
      <w:pPr>
        <w:pStyle w:val="footnotedescription"/>
        <w:widowControl w:val="0"/>
        <w:spacing w:line="271" w:lineRule="auto"/>
        <w:jc w:val="both"/>
        <w:rPr>
          <w:rFonts w:ascii="Times New Roman" w:hAnsi="Times New Roman" w:cs="Times New Roman"/>
          <w:szCs w:val="16"/>
        </w:rPr>
      </w:pPr>
      <w:r>
        <w:rPr>
          <w:rStyle w:val="FootnoteCharacters"/>
        </w:rPr>
        <w:footnoteRef/>
      </w:r>
      <w:r>
        <w:rPr>
          <w:rFonts w:ascii="Times New Roman" w:hAnsi="Times New Roman" w:cs="Times New Roman"/>
          <w:szCs w:val="16"/>
        </w:rPr>
        <w:t xml:space="preserve"> Somente o Ordenador de Despesa poderá assinar o convênio concedido pelo órgão ou entidade da administração pública estadual, direta ou indireta. R</w:t>
      </w:r>
      <w:r>
        <w:rPr>
          <w:rFonts w:ascii="Times New Roman" w:hAnsi="Times New Roman" w:cs="Times New Roman"/>
          <w:szCs w:val="16"/>
        </w:rPr>
        <w:t>egidos pelo Decreto Estadual nº 4.029/10</w:t>
      </w:r>
    </w:p>
  </w:footnote>
  <w:footnote w:id="17">
    <w:p w:rsidR="007D7276" w:rsidRDefault="00FB7FB9">
      <w:pPr>
        <w:pStyle w:val="Textodenotaderodap"/>
        <w:widowControl w:val="0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Style w:val="FootnoteCharacters"/>
        </w:rPr>
        <w:footnoteRef/>
      </w:r>
      <w:r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  <w:t xml:space="preserve"> Após o cancelamento dos documentos orçamentários deverão ser rejeitadas as propostas no sistema de acompanhamento de convênios e parcerias, devendo constar justificativa expressa acera dos motivos da rejeição.</w:t>
      </w:r>
    </w:p>
  </w:footnote>
  <w:footnote w:id="18">
    <w:p w:rsidR="007D7276" w:rsidRDefault="00FB7FB9">
      <w:pPr>
        <w:pStyle w:val="footnotedescription"/>
        <w:widowControl w:val="0"/>
        <w:spacing w:line="259" w:lineRule="auto"/>
        <w:jc w:val="both"/>
        <w:rPr>
          <w:rFonts w:ascii="Times New Roman" w:hAnsi="Times New Roman" w:cs="Times New Roman"/>
          <w:szCs w:val="16"/>
        </w:rPr>
      </w:pPr>
      <w:r>
        <w:rPr>
          <w:rStyle w:val="FootnoteCharacters"/>
        </w:rPr>
        <w:footnoteRef/>
      </w:r>
      <w:r>
        <w:rPr>
          <w:rFonts w:ascii="Times New Roman" w:hAnsi="Times New Roman" w:cs="Times New Roman"/>
          <w:szCs w:val="16"/>
        </w:rPr>
        <w:t xml:space="preserve"> O</w:t>
      </w:r>
      <w:r>
        <w:rPr>
          <w:rFonts w:ascii="Times New Roman" w:hAnsi="Times New Roman" w:cs="Times New Roman"/>
          <w:szCs w:val="16"/>
        </w:rPr>
        <w:t xml:space="preserve"> repasse, cujo valor não seja superior a R$ 200.000,00, (duzentos mil reais) submetem-se ao prévio exame da assessoria jurídica da unidade gestora, caso seja superior, este deve, obrigatoriamente, ser submetida à apreciação da Procuradoria Geral do Estado.</w:t>
      </w:r>
      <w:r>
        <w:rPr>
          <w:rFonts w:ascii="Times New Roman" w:hAnsi="Times New Roman" w:cs="Times New Roman"/>
          <w:szCs w:val="16"/>
        </w:rPr>
        <w:t xml:space="preserve"> Caso tenha a liberação de </w:t>
      </w:r>
      <w:proofErr w:type="gramStart"/>
      <w:r>
        <w:rPr>
          <w:rFonts w:ascii="Times New Roman" w:hAnsi="Times New Roman" w:cs="Times New Roman"/>
          <w:szCs w:val="16"/>
        </w:rPr>
        <w:t>outros repasse</w:t>
      </w:r>
      <w:proofErr w:type="gramEnd"/>
      <w:r>
        <w:rPr>
          <w:rFonts w:ascii="Times New Roman" w:hAnsi="Times New Roman" w:cs="Times New Roman"/>
          <w:szCs w:val="16"/>
        </w:rPr>
        <w:t xml:space="preserve"> com valores inferiores, com idêntico objeto, ponderando todos os seus elementos e a sua descrição nos planos de trabalho, no caso de liberação de emendas parlamentares individuais distintas já celebradas para mesmo</w:t>
      </w:r>
      <w:r>
        <w:rPr>
          <w:rFonts w:ascii="Times New Roman" w:hAnsi="Times New Roman" w:cs="Times New Roman"/>
          <w:szCs w:val="16"/>
        </w:rPr>
        <w:t xml:space="preserve"> objeto e convenente, devem os processos serem apensados para fins de juntada dos valores, parecer jurídico único, controle, acompanhamento, e prestação de contas unificada</w:t>
      </w:r>
    </w:p>
  </w:footnote>
  <w:footnote w:id="19">
    <w:p w:rsidR="007D7276" w:rsidRDefault="00FB7FB9">
      <w:pPr>
        <w:pStyle w:val="footnotedescription"/>
        <w:widowControl w:val="0"/>
        <w:spacing w:after="13" w:line="235" w:lineRule="auto"/>
        <w:ind w:right="3"/>
        <w:jc w:val="both"/>
        <w:rPr>
          <w:rFonts w:ascii="Times New Roman" w:hAnsi="Times New Roman" w:cs="Times New Roman"/>
          <w:szCs w:val="16"/>
        </w:rPr>
      </w:pPr>
      <w:r>
        <w:rPr>
          <w:rStyle w:val="FootnoteCharacters"/>
        </w:rPr>
        <w:footnoteRef/>
      </w:r>
      <w:r>
        <w:rPr>
          <w:rFonts w:ascii="Times New Roman" w:hAnsi="Times New Roman" w:cs="Times New Roman"/>
          <w:szCs w:val="16"/>
        </w:rPr>
        <w:t xml:space="preserve"> Deve ser observado o prazo de até 20(vinte) dias a contar de sua assinatura, a pu</w:t>
      </w:r>
      <w:r>
        <w:rPr>
          <w:rFonts w:ascii="Times New Roman" w:hAnsi="Times New Roman" w:cs="Times New Roman"/>
          <w:szCs w:val="16"/>
        </w:rPr>
        <w:t>blicação do extrato no Diário Oficial do Estado para a eficácia do convênio que somente produzirão efeitos jurídicos após a publicação dos respectivos extratos no meio oficial de publicidade da administração pública.</w:t>
      </w:r>
    </w:p>
  </w:footnote>
  <w:footnote w:id="20">
    <w:p w:rsidR="007D7276" w:rsidRDefault="00FB7FB9">
      <w:pPr>
        <w:pStyle w:val="footnotedescription"/>
        <w:widowControl w:val="0"/>
        <w:spacing w:after="22" w:line="259" w:lineRule="auto"/>
        <w:jc w:val="both"/>
        <w:rPr>
          <w:rFonts w:ascii="Times New Roman" w:hAnsi="Times New Roman" w:cs="Times New Roman"/>
          <w:szCs w:val="16"/>
        </w:rPr>
      </w:pPr>
      <w:r>
        <w:rPr>
          <w:rStyle w:val="FootnoteCharacters"/>
        </w:rPr>
        <w:footnoteRef/>
      </w:r>
      <w:r>
        <w:rPr>
          <w:rFonts w:ascii="Times New Roman" w:hAnsi="Times New Roman" w:cs="Times New Roman"/>
          <w:szCs w:val="16"/>
        </w:rPr>
        <w:t xml:space="preserve"> Deverá ser informada a competência do</w:t>
      </w:r>
      <w:r>
        <w:rPr>
          <w:rFonts w:ascii="Times New Roman" w:hAnsi="Times New Roman" w:cs="Times New Roman"/>
          <w:szCs w:val="16"/>
        </w:rPr>
        <w:t xml:space="preserve"> fiscal do convênio no teor do termo do Convênio.</w:t>
      </w:r>
    </w:p>
  </w:footnote>
  <w:footnote w:id="21">
    <w:p w:rsidR="007D7276" w:rsidRDefault="00FB7FB9">
      <w:pPr>
        <w:pStyle w:val="footnotedescription"/>
        <w:widowControl w:val="0"/>
        <w:spacing w:line="235" w:lineRule="auto"/>
        <w:jc w:val="both"/>
        <w:rPr>
          <w:rFonts w:ascii="Times New Roman" w:hAnsi="Times New Roman" w:cs="Times New Roman"/>
          <w:szCs w:val="16"/>
        </w:rPr>
      </w:pPr>
      <w:r>
        <w:rPr>
          <w:rStyle w:val="FootnoteCharacters"/>
        </w:rPr>
        <w:footnoteRef/>
      </w:r>
      <w:r>
        <w:rPr>
          <w:rFonts w:ascii="Times New Roman" w:hAnsi="Times New Roman" w:cs="Times New Roman"/>
          <w:szCs w:val="16"/>
        </w:rPr>
        <w:t xml:space="preserve"> O prazo para comunicar a celebração do convênio à Assembleia e ao </w:t>
      </w:r>
      <w:proofErr w:type="spellStart"/>
      <w:r>
        <w:rPr>
          <w:rFonts w:ascii="Times New Roman" w:hAnsi="Times New Roman" w:cs="Times New Roman"/>
          <w:szCs w:val="16"/>
        </w:rPr>
        <w:t>TCE</w:t>
      </w:r>
      <w:proofErr w:type="spellEnd"/>
      <w:r>
        <w:rPr>
          <w:rFonts w:ascii="Times New Roman" w:hAnsi="Times New Roman" w:cs="Times New Roman"/>
          <w:szCs w:val="16"/>
        </w:rPr>
        <w:t xml:space="preserve"> será de 30 (trinta) dias após sua publicação do extrato no diário oficial, ou caso haja antes a liberação do recurso, o prazo será até</w:t>
      </w:r>
      <w:r>
        <w:rPr>
          <w:rFonts w:ascii="Times New Roman" w:hAnsi="Times New Roman" w:cs="Times New Roman"/>
          <w:szCs w:val="16"/>
        </w:rPr>
        <w:t xml:space="preserve"> 5 (cinco) dias úteis.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98" w:type="dxa"/>
      <w:tblInd w:w="-175" w:type="dxa"/>
      <w:tblLook w:val="04A0" w:firstRow="1" w:lastRow="0" w:firstColumn="1" w:lastColumn="0" w:noHBand="0" w:noVBand="1"/>
    </w:tblPr>
    <w:tblGrid>
      <w:gridCol w:w="5814"/>
      <w:gridCol w:w="4284"/>
    </w:tblGrid>
    <w:tr w:rsidR="00FB7FB9" w:rsidTr="00FB7FB9">
      <w:trPr>
        <w:trHeight w:val="859"/>
      </w:trPr>
      <w:tc>
        <w:tcPr>
          <w:tcW w:w="5813" w:type="dxa"/>
          <w:hideMark/>
        </w:tcPr>
        <w:p w:rsidR="00FB7FB9" w:rsidRDefault="00FB7FB9">
          <w:pPr>
            <w:tabs>
              <w:tab w:val="center" w:pos="4252"/>
              <w:tab w:val="right" w:pos="8504"/>
            </w:tabs>
            <w:suppressAutoHyphens w:val="0"/>
            <w:spacing w:after="0" w:line="240" w:lineRule="auto"/>
            <w:rPr>
              <w:rFonts w:cs="Times New Roman"/>
              <w:lang w:eastAsia="en-US"/>
            </w:rPr>
          </w:pPr>
          <w:r>
            <w:rPr>
              <w:rFonts w:cs="DejaVu Sans"/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145415</wp:posOffset>
                </wp:positionH>
                <wp:positionV relativeFrom="margin">
                  <wp:posOffset>26670</wp:posOffset>
                </wp:positionV>
                <wp:extent cx="3144520" cy="533400"/>
                <wp:effectExtent l="0" t="0" r="0" b="0"/>
                <wp:wrapSquare wrapText="bothSides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4520" cy="533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84" w:type="dxa"/>
          <w:hideMark/>
        </w:tcPr>
        <w:p w:rsidR="00FB7FB9" w:rsidRDefault="00FB7FB9">
          <w:pPr>
            <w:tabs>
              <w:tab w:val="center" w:pos="4252"/>
              <w:tab w:val="right" w:pos="8504"/>
            </w:tabs>
            <w:suppressAutoHyphens w:val="0"/>
            <w:spacing w:after="0" w:line="240" w:lineRule="auto"/>
            <w:ind w:left="373" w:hanging="339"/>
            <w:rPr>
              <w:rFonts w:eastAsia="Times New Roman"/>
              <w:bCs/>
              <w:sz w:val="18"/>
              <w:szCs w:val="18"/>
            </w:rPr>
          </w:pPr>
          <w:r>
            <w:rPr>
              <w:rFonts w:eastAsia="Times New Roman"/>
              <w:bCs/>
              <w:sz w:val="18"/>
              <w:szCs w:val="18"/>
            </w:rPr>
            <w:t xml:space="preserve">Praça dos Girassóis, Esplanada das </w:t>
          </w:r>
          <w:proofErr w:type="gramStart"/>
          <w:r>
            <w:rPr>
              <w:rFonts w:eastAsia="Times New Roman"/>
              <w:bCs/>
              <w:sz w:val="18"/>
              <w:szCs w:val="18"/>
            </w:rPr>
            <w:t>Secretarias</w:t>
          </w:r>
          <w:proofErr w:type="gramEnd"/>
        </w:p>
        <w:p w:rsidR="00FB7FB9" w:rsidRDefault="00FB7FB9">
          <w:pPr>
            <w:tabs>
              <w:tab w:val="center" w:pos="4252"/>
              <w:tab w:val="right" w:pos="8504"/>
            </w:tabs>
            <w:suppressAutoHyphens w:val="0"/>
            <w:spacing w:after="0" w:line="240" w:lineRule="auto"/>
            <w:ind w:left="373" w:hanging="339"/>
            <w:rPr>
              <w:sz w:val="18"/>
              <w:szCs w:val="18"/>
            </w:rPr>
          </w:pPr>
          <w:r>
            <w:rPr>
              <w:rFonts w:eastAsia="Times New Roman"/>
              <w:bCs/>
              <w:sz w:val="18"/>
              <w:szCs w:val="18"/>
            </w:rPr>
            <w:t xml:space="preserve">Av. NS-2, Prédio I, S/N, Plano Diretor </w:t>
          </w:r>
          <w:proofErr w:type="gramStart"/>
          <w:r>
            <w:rPr>
              <w:rFonts w:eastAsia="Times New Roman"/>
              <w:bCs/>
              <w:sz w:val="18"/>
              <w:szCs w:val="18"/>
            </w:rPr>
            <w:t>Norte</w:t>
          </w:r>
          <w:proofErr w:type="gramEnd"/>
          <w:r>
            <w:rPr>
              <w:sz w:val="18"/>
              <w:szCs w:val="18"/>
            </w:rPr>
            <w:t xml:space="preserve"> </w:t>
          </w:r>
        </w:p>
        <w:p w:rsidR="00FB7FB9" w:rsidRDefault="00FB7FB9">
          <w:pPr>
            <w:tabs>
              <w:tab w:val="center" w:pos="4252"/>
              <w:tab w:val="right" w:pos="8504"/>
            </w:tabs>
            <w:suppressAutoHyphens w:val="0"/>
            <w:spacing w:after="0" w:line="240" w:lineRule="auto"/>
            <w:ind w:left="373" w:hanging="339"/>
            <w:rPr>
              <w:sz w:val="18"/>
              <w:szCs w:val="18"/>
            </w:rPr>
          </w:pPr>
          <w:r>
            <w:rPr>
              <w:sz w:val="18"/>
              <w:szCs w:val="18"/>
            </w:rPr>
            <w:t>Palmas – Tocantins – CEP: 77.001-002</w:t>
          </w:r>
        </w:p>
        <w:p w:rsidR="00FB7FB9" w:rsidRDefault="00FB7FB9">
          <w:pPr>
            <w:tabs>
              <w:tab w:val="center" w:pos="4252"/>
              <w:tab w:val="right" w:pos="8504"/>
            </w:tabs>
            <w:suppressAutoHyphens w:val="0"/>
            <w:spacing w:after="0" w:line="240" w:lineRule="auto"/>
            <w:ind w:left="373" w:hanging="339"/>
            <w:rPr>
              <w:sz w:val="18"/>
              <w:szCs w:val="18"/>
            </w:rPr>
          </w:pPr>
          <w:proofErr w:type="spellStart"/>
          <w:r>
            <w:rPr>
              <w:sz w:val="18"/>
              <w:szCs w:val="18"/>
            </w:rPr>
            <w:t>Tel</w:t>
          </w:r>
          <w:proofErr w:type="spellEnd"/>
          <w:r>
            <w:rPr>
              <w:sz w:val="18"/>
              <w:szCs w:val="18"/>
            </w:rPr>
            <w:t>: +55 63 3218-2563</w:t>
          </w:r>
        </w:p>
        <w:p w:rsidR="00FB7FB9" w:rsidRDefault="00FB7FB9">
          <w:pPr>
            <w:tabs>
              <w:tab w:val="center" w:pos="4252"/>
              <w:tab w:val="right" w:pos="8504"/>
            </w:tabs>
            <w:suppressAutoHyphens w:val="0"/>
            <w:spacing w:after="0" w:line="240" w:lineRule="auto"/>
            <w:ind w:left="373" w:hanging="339"/>
            <w:rPr>
              <w:rFonts w:cs="Times New Roman"/>
            </w:rPr>
          </w:pPr>
          <w:hyperlink r:id="rId2" w:history="1">
            <w:r>
              <w:rPr>
                <w:rStyle w:val="Hyperlink"/>
                <w:sz w:val="18"/>
                <w:szCs w:val="18"/>
              </w:rPr>
              <w:t>gabexecutivo@controladoria.to.gov.br</w:t>
            </w:r>
          </w:hyperlink>
          <w:r>
            <w:rPr>
              <w:sz w:val="18"/>
              <w:szCs w:val="18"/>
            </w:rPr>
            <w:t xml:space="preserve"> </w:t>
          </w:r>
        </w:p>
        <w:p w:rsidR="00FB7FB9" w:rsidRDefault="00FB7FB9">
          <w:pPr>
            <w:tabs>
              <w:tab w:val="center" w:pos="4252"/>
              <w:tab w:val="right" w:pos="8504"/>
            </w:tabs>
            <w:suppressAutoHyphens w:val="0"/>
            <w:spacing w:after="0" w:line="240" w:lineRule="auto"/>
            <w:ind w:left="373" w:hanging="339"/>
            <w:rPr>
              <w:rFonts w:cs="Times New Roman"/>
              <w:lang w:eastAsia="en-US"/>
            </w:rPr>
          </w:pPr>
          <w:hyperlink r:id="rId3" w:history="1">
            <w:r>
              <w:rPr>
                <w:rStyle w:val="Hyperlink"/>
                <w:sz w:val="18"/>
                <w:szCs w:val="18"/>
              </w:rPr>
              <w:t>www.to.gov.br/cge</w:t>
            </w:r>
          </w:hyperlink>
        </w:p>
      </w:tc>
    </w:tr>
  </w:tbl>
  <w:p w:rsidR="007D7276" w:rsidRDefault="007D727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62ED"/>
    <w:multiLevelType w:val="multilevel"/>
    <w:tmpl w:val="F9447032"/>
    <w:lvl w:ilvl="0">
      <w:start w:val="1"/>
      <w:numFmt w:val="lowerLetter"/>
      <w:lvlText w:val="%1)"/>
      <w:lvlJc w:val="left"/>
      <w:pPr>
        <w:tabs>
          <w:tab w:val="num" w:pos="0"/>
        </w:tabs>
        <w:ind w:left="922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2" w:hanging="180"/>
      </w:pPr>
    </w:lvl>
  </w:abstractNum>
  <w:abstractNum w:abstractNumId="1">
    <w:nsid w:val="16462F1A"/>
    <w:multiLevelType w:val="multilevel"/>
    <w:tmpl w:val="561844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E816493"/>
    <w:multiLevelType w:val="multilevel"/>
    <w:tmpl w:val="36EEC7F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2C0154C1"/>
    <w:multiLevelType w:val="multilevel"/>
    <w:tmpl w:val="8C3C4A78"/>
    <w:lvl w:ilvl="0">
      <w:start w:val="6"/>
      <w:numFmt w:val="decimal"/>
      <w:lvlText w:val="%1."/>
      <w:lvlJc w:val="left"/>
      <w:pPr>
        <w:tabs>
          <w:tab w:val="num" w:pos="0"/>
        </w:tabs>
        <w:ind w:left="922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2" w:hanging="180"/>
      </w:pPr>
    </w:lvl>
  </w:abstractNum>
  <w:abstractNum w:abstractNumId="4">
    <w:nsid w:val="510C0D3F"/>
    <w:multiLevelType w:val="multilevel"/>
    <w:tmpl w:val="AA88BB08"/>
    <w:lvl w:ilvl="0">
      <w:start w:val="18"/>
      <w:numFmt w:val="decimal"/>
      <w:lvlText w:val="%1."/>
      <w:lvlJc w:val="left"/>
      <w:pPr>
        <w:tabs>
          <w:tab w:val="num" w:pos="0"/>
        </w:tabs>
        <w:ind w:left="922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52E90C6E"/>
    <w:multiLevelType w:val="multilevel"/>
    <w:tmpl w:val="107E3526"/>
    <w:lvl w:ilvl="0">
      <w:start w:val="4"/>
      <w:numFmt w:val="decimal"/>
      <w:lvlText w:val="%1."/>
      <w:lvlJc w:val="left"/>
      <w:pPr>
        <w:tabs>
          <w:tab w:val="num" w:pos="0"/>
        </w:tabs>
        <w:ind w:left="922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2" w:hanging="180"/>
      </w:pPr>
    </w:lvl>
  </w:abstractNum>
  <w:abstractNum w:abstractNumId="6">
    <w:nsid w:val="59E8526F"/>
    <w:multiLevelType w:val="multilevel"/>
    <w:tmpl w:val="89400286"/>
    <w:lvl w:ilvl="0">
      <w:start w:val="17"/>
      <w:numFmt w:val="decimal"/>
      <w:lvlText w:val="%1."/>
      <w:lvlJc w:val="left"/>
      <w:pPr>
        <w:tabs>
          <w:tab w:val="num" w:pos="0"/>
        </w:tabs>
        <w:ind w:left="922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65DD2ECF"/>
    <w:multiLevelType w:val="multilevel"/>
    <w:tmpl w:val="D9B8241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6B3A5D45"/>
    <w:multiLevelType w:val="multilevel"/>
    <w:tmpl w:val="F13042BC"/>
    <w:lvl w:ilvl="0">
      <w:start w:val="11"/>
      <w:numFmt w:val="decimal"/>
      <w:lvlText w:val="%1."/>
      <w:lvlJc w:val="left"/>
      <w:pPr>
        <w:tabs>
          <w:tab w:val="num" w:pos="0"/>
        </w:tabs>
        <w:ind w:left="922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7AA00DDC"/>
    <w:multiLevelType w:val="multilevel"/>
    <w:tmpl w:val="E6BAEB5C"/>
    <w:lvl w:ilvl="0">
      <w:start w:val="8"/>
      <w:numFmt w:val="decimal"/>
      <w:lvlText w:val="%1."/>
      <w:lvlJc w:val="left"/>
      <w:pPr>
        <w:tabs>
          <w:tab w:val="num" w:pos="0"/>
        </w:tabs>
        <w:ind w:left="922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9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276"/>
    <w:rsid w:val="007D7276"/>
    <w:rsid w:val="00FB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3B8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otnotedescriptionChar">
    <w:name w:val="footnote description Char"/>
    <w:qFormat/>
    <w:rsid w:val="00DE63B8"/>
    <w:rPr>
      <w:rFonts w:ascii="Calibri" w:eastAsia="Calibri" w:hAnsi="Calibri" w:cs="Calibri"/>
      <w:color w:val="000000"/>
      <w:sz w:val="16"/>
    </w:rPr>
  </w:style>
  <w:style w:type="character" w:customStyle="1" w:styleId="footnotemark">
    <w:name w:val="footnote mark"/>
    <w:qFormat/>
    <w:rsid w:val="00DE63B8"/>
    <w:rPr>
      <w:rFonts w:ascii="Calibri" w:eastAsia="Calibri" w:hAnsi="Calibri" w:cs="Calibri"/>
      <w:color w:val="000000"/>
      <w:sz w:val="16"/>
      <w:vertAlign w:val="superscript"/>
    </w:rPr>
  </w:style>
  <w:style w:type="character" w:customStyle="1" w:styleId="RodapChar">
    <w:name w:val="Rodapé Char"/>
    <w:basedOn w:val="Fontepargpadro"/>
    <w:qFormat/>
    <w:rsid w:val="00DE63B8"/>
    <w:rPr>
      <w:rFonts w:ascii="Calibri" w:eastAsia="Calibri" w:hAnsi="Calibri" w:cs="Calibri"/>
      <w:color w:val="000000"/>
    </w:rPr>
  </w:style>
  <w:style w:type="character" w:customStyle="1" w:styleId="CabealhoChar">
    <w:name w:val="Cabeçalho Char"/>
    <w:basedOn w:val="Fontepargpadro"/>
    <w:uiPriority w:val="99"/>
    <w:qFormat/>
    <w:rsid w:val="00DE63B8"/>
    <w:rPr>
      <w:rFonts w:ascii="Calibri" w:eastAsia="Calibri" w:hAnsi="Calibri" w:cs="Calibri"/>
      <w:color w:val="000000"/>
    </w:rPr>
  </w:style>
  <w:style w:type="character" w:customStyle="1" w:styleId="LinkdaInternet">
    <w:name w:val="Link da Internet"/>
    <w:qFormat/>
    <w:rsid w:val="00DE63B8"/>
    <w:rPr>
      <w:color w:val="000080"/>
      <w:u w:val="single"/>
    </w:rPr>
  </w:style>
  <w:style w:type="character" w:customStyle="1" w:styleId="Caracteresdenotaderodap">
    <w:name w:val="Caracteres de nota de rodapé"/>
    <w:qFormat/>
    <w:rsid w:val="00DE63B8"/>
  </w:style>
  <w:style w:type="character" w:customStyle="1" w:styleId="ncoradanotaderodap">
    <w:name w:val="Âncora da nota de rodapé"/>
    <w:qFormat/>
    <w:rsid w:val="00DE63B8"/>
    <w:rPr>
      <w:vertAlign w:val="superscript"/>
    </w:rPr>
  </w:style>
  <w:style w:type="character" w:customStyle="1" w:styleId="ncoradanotadefim">
    <w:name w:val="Âncora da nota de fim"/>
    <w:qFormat/>
    <w:rsid w:val="00DE63B8"/>
    <w:rPr>
      <w:vertAlign w:val="superscript"/>
    </w:rPr>
  </w:style>
  <w:style w:type="character" w:customStyle="1" w:styleId="Caracteresdenotadefim">
    <w:name w:val="Caracteres de nota de fim"/>
    <w:qFormat/>
    <w:rsid w:val="00DE63B8"/>
  </w:style>
  <w:style w:type="character" w:customStyle="1" w:styleId="Smbolosdenumerao">
    <w:name w:val="Símbolos de numeração"/>
    <w:qFormat/>
    <w:rsid w:val="00DE63B8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0349C"/>
    <w:rPr>
      <w:rFonts w:ascii="Tahoma" w:eastAsia="Calibri" w:hAnsi="Tahoma" w:cs="Tahoma"/>
      <w:color w:val="000000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5C6571"/>
    <w:rPr>
      <w:color w:val="0000FF"/>
      <w:u w:val="single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865EB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Source Han Sans CN" w:hAnsi="Liberation Sans" w:cs="Noto Sans Devanagari"/>
      <w:sz w:val="28"/>
      <w:szCs w:val="28"/>
    </w:rPr>
  </w:style>
  <w:style w:type="paragraph" w:styleId="Corpodetexto">
    <w:name w:val="Body Text"/>
    <w:basedOn w:val="Normal"/>
    <w:rsid w:val="00DE63B8"/>
    <w:pPr>
      <w:spacing w:after="140" w:line="276" w:lineRule="auto"/>
    </w:pPr>
  </w:style>
  <w:style w:type="paragraph" w:styleId="Lista">
    <w:name w:val="List"/>
    <w:basedOn w:val="Corpodetexto"/>
    <w:rsid w:val="00DE63B8"/>
    <w:rPr>
      <w:rFonts w:cs="Mangal"/>
    </w:rPr>
  </w:style>
  <w:style w:type="paragraph" w:styleId="Legenda">
    <w:name w:val="caption"/>
    <w:basedOn w:val="Normal"/>
    <w:qFormat/>
    <w:rsid w:val="00DE63B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styleId="Ttulo">
    <w:name w:val="Title"/>
    <w:basedOn w:val="Normal"/>
    <w:next w:val="Corpodetexto"/>
    <w:qFormat/>
    <w:rsid w:val="00DE63B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rsid w:val="00DE63B8"/>
    <w:pPr>
      <w:suppressLineNumbers/>
    </w:pPr>
    <w:rPr>
      <w:rFonts w:cs="Mangal"/>
    </w:rPr>
  </w:style>
  <w:style w:type="paragraph" w:customStyle="1" w:styleId="footnotedescription">
    <w:name w:val="footnote description"/>
    <w:next w:val="Normal"/>
    <w:qFormat/>
    <w:rsid w:val="00DE63B8"/>
    <w:pPr>
      <w:spacing w:line="247" w:lineRule="auto"/>
    </w:pPr>
    <w:rPr>
      <w:rFonts w:ascii="Calibri" w:eastAsia="Calibri" w:hAnsi="Calibri" w:cs="Calibri"/>
      <w:color w:val="000000"/>
      <w:sz w:val="16"/>
    </w:rPr>
  </w:style>
  <w:style w:type="paragraph" w:customStyle="1" w:styleId="CabealhoeRodap">
    <w:name w:val="Cabeçalho e Rodapé"/>
    <w:basedOn w:val="Normal"/>
    <w:qFormat/>
    <w:rsid w:val="00DE63B8"/>
  </w:style>
  <w:style w:type="paragraph" w:customStyle="1" w:styleId="HeaderandFooter">
    <w:name w:val="Header and Footer"/>
    <w:basedOn w:val="Normal"/>
    <w:qFormat/>
  </w:style>
  <w:style w:type="paragraph" w:styleId="Rodap">
    <w:name w:val="footer"/>
    <w:basedOn w:val="Normal"/>
    <w:unhideWhenUsed/>
    <w:rsid w:val="00DE63B8"/>
    <w:pPr>
      <w:tabs>
        <w:tab w:val="center" w:pos="4252"/>
        <w:tab w:val="right" w:pos="8504"/>
      </w:tabs>
      <w:spacing w:after="0" w:line="240" w:lineRule="auto"/>
    </w:pPr>
  </w:style>
  <w:style w:type="paragraph" w:styleId="Cabealho">
    <w:name w:val="header"/>
    <w:basedOn w:val="Normal"/>
    <w:uiPriority w:val="99"/>
    <w:unhideWhenUsed/>
    <w:rsid w:val="00DE63B8"/>
    <w:pPr>
      <w:tabs>
        <w:tab w:val="center" w:pos="4252"/>
        <w:tab w:val="right" w:pos="8504"/>
      </w:tabs>
      <w:spacing w:after="0" w:line="240" w:lineRule="auto"/>
    </w:pPr>
  </w:style>
  <w:style w:type="paragraph" w:styleId="Textodenotaderodap">
    <w:name w:val="footnote text"/>
    <w:basedOn w:val="Normal"/>
    <w:rsid w:val="00DE63B8"/>
  </w:style>
  <w:style w:type="paragraph" w:styleId="PargrafodaLista">
    <w:name w:val="List Paragraph"/>
    <w:basedOn w:val="Normal"/>
    <w:qFormat/>
    <w:rsid w:val="00DE63B8"/>
    <w:pPr>
      <w:spacing w:after="200"/>
      <w:ind w:left="720"/>
      <w:contextualSpacing/>
    </w:pPr>
  </w:style>
  <w:style w:type="paragraph" w:customStyle="1" w:styleId="Contedodatabela">
    <w:name w:val="Conteúdo da tabela"/>
    <w:basedOn w:val="Normal"/>
    <w:qFormat/>
    <w:rsid w:val="00DE63B8"/>
    <w:pPr>
      <w:suppressLineNumbers/>
    </w:pPr>
  </w:style>
  <w:style w:type="paragraph" w:customStyle="1" w:styleId="Ttulodetabela">
    <w:name w:val="Título de tabela"/>
    <w:basedOn w:val="Contedodatabela"/>
    <w:qFormat/>
    <w:rsid w:val="00DE63B8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0349C"/>
    <w:pPr>
      <w:spacing w:after="0" w:line="240" w:lineRule="auto"/>
    </w:pPr>
    <w:rPr>
      <w:rFonts w:ascii="Tahoma" w:hAnsi="Tahoma" w:cs="Tahoma"/>
      <w:sz w:val="16"/>
      <w:szCs w:val="16"/>
    </w:rPr>
  </w:style>
  <w:style w:type="table" w:customStyle="1" w:styleId="TableGrid">
    <w:name w:val="TableGrid"/>
    <w:rsid w:val="00DE63B8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661C1D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3B8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otnotedescriptionChar">
    <w:name w:val="footnote description Char"/>
    <w:qFormat/>
    <w:rsid w:val="00DE63B8"/>
    <w:rPr>
      <w:rFonts w:ascii="Calibri" w:eastAsia="Calibri" w:hAnsi="Calibri" w:cs="Calibri"/>
      <w:color w:val="000000"/>
      <w:sz w:val="16"/>
    </w:rPr>
  </w:style>
  <w:style w:type="character" w:customStyle="1" w:styleId="footnotemark">
    <w:name w:val="footnote mark"/>
    <w:qFormat/>
    <w:rsid w:val="00DE63B8"/>
    <w:rPr>
      <w:rFonts w:ascii="Calibri" w:eastAsia="Calibri" w:hAnsi="Calibri" w:cs="Calibri"/>
      <w:color w:val="000000"/>
      <w:sz w:val="16"/>
      <w:vertAlign w:val="superscript"/>
    </w:rPr>
  </w:style>
  <w:style w:type="character" w:customStyle="1" w:styleId="RodapChar">
    <w:name w:val="Rodapé Char"/>
    <w:basedOn w:val="Fontepargpadro"/>
    <w:qFormat/>
    <w:rsid w:val="00DE63B8"/>
    <w:rPr>
      <w:rFonts w:ascii="Calibri" w:eastAsia="Calibri" w:hAnsi="Calibri" w:cs="Calibri"/>
      <w:color w:val="000000"/>
    </w:rPr>
  </w:style>
  <w:style w:type="character" w:customStyle="1" w:styleId="CabealhoChar">
    <w:name w:val="Cabeçalho Char"/>
    <w:basedOn w:val="Fontepargpadro"/>
    <w:uiPriority w:val="99"/>
    <w:qFormat/>
    <w:rsid w:val="00DE63B8"/>
    <w:rPr>
      <w:rFonts w:ascii="Calibri" w:eastAsia="Calibri" w:hAnsi="Calibri" w:cs="Calibri"/>
      <w:color w:val="000000"/>
    </w:rPr>
  </w:style>
  <w:style w:type="character" w:customStyle="1" w:styleId="LinkdaInternet">
    <w:name w:val="Link da Internet"/>
    <w:qFormat/>
    <w:rsid w:val="00DE63B8"/>
    <w:rPr>
      <w:color w:val="000080"/>
      <w:u w:val="single"/>
    </w:rPr>
  </w:style>
  <w:style w:type="character" w:customStyle="1" w:styleId="Caracteresdenotaderodap">
    <w:name w:val="Caracteres de nota de rodapé"/>
    <w:qFormat/>
    <w:rsid w:val="00DE63B8"/>
  </w:style>
  <w:style w:type="character" w:customStyle="1" w:styleId="ncoradanotaderodap">
    <w:name w:val="Âncora da nota de rodapé"/>
    <w:qFormat/>
    <w:rsid w:val="00DE63B8"/>
    <w:rPr>
      <w:vertAlign w:val="superscript"/>
    </w:rPr>
  </w:style>
  <w:style w:type="character" w:customStyle="1" w:styleId="ncoradanotadefim">
    <w:name w:val="Âncora da nota de fim"/>
    <w:qFormat/>
    <w:rsid w:val="00DE63B8"/>
    <w:rPr>
      <w:vertAlign w:val="superscript"/>
    </w:rPr>
  </w:style>
  <w:style w:type="character" w:customStyle="1" w:styleId="Caracteresdenotadefim">
    <w:name w:val="Caracteres de nota de fim"/>
    <w:qFormat/>
    <w:rsid w:val="00DE63B8"/>
  </w:style>
  <w:style w:type="character" w:customStyle="1" w:styleId="Smbolosdenumerao">
    <w:name w:val="Símbolos de numeração"/>
    <w:qFormat/>
    <w:rsid w:val="00DE63B8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0349C"/>
    <w:rPr>
      <w:rFonts w:ascii="Tahoma" w:eastAsia="Calibri" w:hAnsi="Tahoma" w:cs="Tahoma"/>
      <w:color w:val="000000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5C6571"/>
    <w:rPr>
      <w:color w:val="0000FF"/>
      <w:u w:val="single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865EB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Source Han Sans CN" w:hAnsi="Liberation Sans" w:cs="Noto Sans Devanagari"/>
      <w:sz w:val="28"/>
      <w:szCs w:val="28"/>
    </w:rPr>
  </w:style>
  <w:style w:type="paragraph" w:styleId="Corpodetexto">
    <w:name w:val="Body Text"/>
    <w:basedOn w:val="Normal"/>
    <w:rsid w:val="00DE63B8"/>
    <w:pPr>
      <w:spacing w:after="140" w:line="276" w:lineRule="auto"/>
    </w:pPr>
  </w:style>
  <w:style w:type="paragraph" w:styleId="Lista">
    <w:name w:val="List"/>
    <w:basedOn w:val="Corpodetexto"/>
    <w:rsid w:val="00DE63B8"/>
    <w:rPr>
      <w:rFonts w:cs="Mangal"/>
    </w:rPr>
  </w:style>
  <w:style w:type="paragraph" w:styleId="Legenda">
    <w:name w:val="caption"/>
    <w:basedOn w:val="Normal"/>
    <w:qFormat/>
    <w:rsid w:val="00DE63B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styleId="Ttulo">
    <w:name w:val="Title"/>
    <w:basedOn w:val="Normal"/>
    <w:next w:val="Corpodetexto"/>
    <w:qFormat/>
    <w:rsid w:val="00DE63B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rsid w:val="00DE63B8"/>
    <w:pPr>
      <w:suppressLineNumbers/>
    </w:pPr>
    <w:rPr>
      <w:rFonts w:cs="Mangal"/>
    </w:rPr>
  </w:style>
  <w:style w:type="paragraph" w:customStyle="1" w:styleId="footnotedescription">
    <w:name w:val="footnote description"/>
    <w:next w:val="Normal"/>
    <w:qFormat/>
    <w:rsid w:val="00DE63B8"/>
    <w:pPr>
      <w:spacing w:line="247" w:lineRule="auto"/>
    </w:pPr>
    <w:rPr>
      <w:rFonts w:ascii="Calibri" w:eastAsia="Calibri" w:hAnsi="Calibri" w:cs="Calibri"/>
      <w:color w:val="000000"/>
      <w:sz w:val="16"/>
    </w:rPr>
  </w:style>
  <w:style w:type="paragraph" w:customStyle="1" w:styleId="CabealhoeRodap">
    <w:name w:val="Cabeçalho e Rodapé"/>
    <w:basedOn w:val="Normal"/>
    <w:qFormat/>
    <w:rsid w:val="00DE63B8"/>
  </w:style>
  <w:style w:type="paragraph" w:customStyle="1" w:styleId="HeaderandFooter">
    <w:name w:val="Header and Footer"/>
    <w:basedOn w:val="Normal"/>
    <w:qFormat/>
  </w:style>
  <w:style w:type="paragraph" w:styleId="Rodap">
    <w:name w:val="footer"/>
    <w:basedOn w:val="Normal"/>
    <w:unhideWhenUsed/>
    <w:rsid w:val="00DE63B8"/>
    <w:pPr>
      <w:tabs>
        <w:tab w:val="center" w:pos="4252"/>
        <w:tab w:val="right" w:pos="8504"/>
      </w:tabs>
      <w:spacing w:after="0" w:line="240" w:lineRule="auto"/>
    </w:pPr>
  </w:style>
  <w:style w:type="paragraph" w:styleId="Cabealho">
    <w:name w:val="header"/>
    <w:basedOn w:val="Normal"/>
    <w:uiPriority w:val="99"/>
    <w:unhideWhenUsed/>
    <w:rsid w:val="00DE63B8"/>
    <w:pPr>
      <w:tabs>
        <w:tab w:val="center" w:pos="4252"/>
        <w:tab w:val="right" w:pos="8504"/>
      </w:tabs>
      <w:spacing w:after="0" w:line="240" w:lineRule="auto"/>
    </w:pPr>
  </w:style>
  <w:style w:type="paragraph" w:styleId="Textodenotaderodap">
    <w:name w:val="footnote text"/>
    <w:basedOn w:val="Normal"/>
    <w:rsid w:val="00DE63B8"/>
  </w:style>
  <w:style w:type="paragraph" w:styleId="PargrafodaLista">
    <w:name w:val="List Paragraph"/>
    <w:basedOn w:val="Normal"/>
    <w:qFormat/>
    <w:rsid w:val="00DE63B8"/>
    <w:pPr>
      <w:spacing w:after="200"/>
      <w:ind w:left="720"/>
      <w:contextualSpacing/>
    </w:pPr>
  </w:style>
  <w:style w:type="paragraph" w:customStyle="1" w:styleId="Contedodatabela">
    <w:name w:val="Conteúdo da tabela"/>
    <w:basedOn w:val="Normal"/>
    <w:qFormat/>
    <w:rsid w:val="00DE63B8"/>
    <w:pPr>
      <w:suppressLineNumbers/>
    </w:pPr>
  </w:style>
  <w:style w:type="paragraph" w:customStyle="1" w:styleId="Ttulodetabela">
    <w:name w:val="Título de tabela"/>
    <w:basedOn w:val="Contedodatabela"/>
    <w:qFormat/>
    <w:rsid w:val="00DE63B8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0349C"/>
    <w:pPr>
      <w:spacing w:after="0" w:line="240" w:lineRule="auto"/>
    </w:pPr>
    <w:rPr>
      <w:rFonts w:ascii="Tahoma" w:hAnsi="Tahoma" w:cs="Tahoma"/>
      <w:sz w:val="16"/>
      <w:szCs w:val="16"/>
    </w:rPr>
  </w:style>
  <w:style w:type="table" w:customStyle="1" w:styleId="TableGrid">
    <w:name w:val="TableGrid"/>
    <w:rsid w:val="00DE63B8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661C1D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8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ge.to.gov.br/modelo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ge.to.gov.br/modelos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estao.cge.to.gov.br/convenios/apl_Login/" TargetMode="External"/><Relationship Id="rId2" Type="http://schemas.openxmlformats.org/officeDocument/2006/relationships/hyperlink" Target="http://www.gestao.cge.to.gov.br/convenioseparcerias" TargetMode="External"/><Relationship Id="rId1" Type="http://schemas.openxmlformats.org/officeDocument/2006/relationships/hyperlink" Target="http://www.gestao.cge.to.gov.br/convenios/apl_Login/" TargetMode="External"/><Relationship Id="rId6" Type="http://schemas.openxmlformats.org/officeDocument/2006/relationships/hyperlink" Target="http://www.gestao.cge.to.gov.br/convenioseparcerias" TargetMode="External"/><Relationship Id="rId5" Type="http://schemas.openxmlformats.org/officeDocument/2006/relationships/hyperlink" Target="http://www.gestao.cge.to.gov.br/convenios/apl_Login/" TargetMode="External"/><Relationship Id="rId4" Type="http://schemas.openxmlformats.org/officeDocument/2006/relationships/hyperlink" Target="http://www.gestao.cge.to.gov.br/convenios/apl_Login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.gov.br/cge" TargetMode="External"/><Relationship Id="rId2" Type="http://schemas.openxmlformats.org/officeDocument/2006/relationships/hyperlink" Target="mailto:gabexecutivo@controladoria.to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2C54B-B534-4184-9CC6-CB2C862F9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3101</Words>
  <Characters>16747</Characters>
  <Application>Microsoft Office Word</Application>
  <DocSecurity>0</DocSecurity>
  <Lines>139</Lines>
  <Paragraphs>39</Paragraphs>
  <ScaleCrop>false</ScaleCrop>
  <Company/>
  <LinksUpToDate>false</LinksUpToDate>
  <CharactersWithSpaces>19809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AKELINE FREITAS NEVES</dc:creator>
  <dc:description/>
  <cp:lastModifiedBy>AMANDA FELIX RIBEIRO</cp:lastModifiedBy>
  <cp:revision>4</cp:revision>
  <cp:lastPrinted>2019-09-16T13:25:00Z</cp:lastPrinted>
  <dcterms:created xsi:type="dcterms:W3CDTF">2021-08-12T19:07:00Z</dcterms:created>
  <dcterms:modified xsi:type="dcterms:W3CDTF">2021-08-27T19:38:00Z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