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A" w:rsidRDefault="0037261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 w:cs="Arial"/>
          <w:sz w:val="20"/>
          <w:szCs w:val="20"/>
        </w:rPr>
        <w:t>CHECKLIST</w:t>
      </w:r>
      <w:proofErr w:type="spellEnd"/>
    </w:p>
    <w:p w:rsidR="00F86B4A" w:rsidRDefault="0037261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Concessão de Adiantamento (</w:t>
      </w:r>
      <w:proofErr w:type="spellStart"/>
      <w:r>
        <w:rPr>
          <w:rFonts w:ascii="Times New Roman" w:hAnsi="Times New Roman" w:cs="Arial"/>
          <w:b/>
          <w:sz w:val="20"/>
          <w:szCs w:val="20"/>
          <w:u w:val="single"/>
        </w:rPr>
        <w:t>SUFUAU</w:t>
      </w:r>
      <w:proofErr w:type="spellEnd"/>
      <w:r>
        <w:rPr>
          <w:rFonts w:ascii="Times New Roman" w:hAnsi="Times New Roman" w:cs="Arial"/>
          <w:b/>
          <w:sz w:val="20"/>
          <w:szCs w:val="20"/>
          <w:u w:val="single"/>
        </w:rPr>
        <w:t>)</w:t>
      </w:r>
    </w:p>
    <w:p w:rsidR="00F86B4A" w:rsidRDefault="00F86B4A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Órgão/Entidade: _______________________________________________________________________________________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Processo nº: ______________________________ Valor: </w:t>
      </w:r>
      <w:r>
        <w:rPr>
          <w:rFonts w:ascii="Times New Roman" w:hAnsi="Times New Roman"/>
          <w:sz w:val="18"/>
          <w:szCs w:val="18"/>
        </w:rPr>
        <w:t>R$____________________________________________________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Portaria nº: _______________________________ CPF nº: _____________________________________________________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Suprido: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F86B4A" w:rsidRDefault="0037261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Atestador: ___________________________________________________________________________________________</w:t>
      </w:r>
    </w:p>
    <w:p w:rsidR="00F86B4A" w:rsidRDefault="00F86B4A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F86B4A" w:rsidRDefault="0037261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Adiantamento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recurso concedido a servidor, a critério e sob a responsabilidade do Ordenador de Despesas, com prazo certo para aplicação e comp</w:t>
      </w:r>
      <w:r>
        <w:rPr>
          <w:rFonts w:ascii="Times New Roman" w:hAnsi="Times New Roman"/>
          <w:sz w:val="18"/>
          <w:szCs w:val="18"/>
        </w:rPr>
        <w:t xml:space="preserve">rovação dos gastos. </w:t>
      </w:r>
      <w:proofErr w:type="gramStart"/>
      <w:r>
        <w:rPr>
          <w:rFonts w:ascii="Times New Roman" w:hAnsi="Times New Roman"/>
          <w:sz w:val="18"/>
          <w:szCs w:val="18"/>
        </w:rPr>
        <w:t>O suprimento de fundos é uma autorização de execução orçamentária e financeira por uma forma diferente da normal, com dotação orçamentária específica e natureza de despesa própria, com finalidade de efetuar despesa que pela sua excepcio</w:t>
      </w:r>
      <w:r>
        <w:rPr>
          <w:rFonts w:ascii="Times New Roman" w:hAnsi="Times New Roman"/>
          <w:sz w:val="18"/>
          <w:szCs w:val="18"/>
        </w:rPr>
        <w:t>nalidade, com despesas de pequeno vulto, onde não seja possível o empenho direto ao fornecedor ou prestador.</w:t>
      </w:r>
      <w:proofErr w:type="gramEnd"/>
      <w:r>
        <w:rPr>
          <w:rFonts w:ascii="Times New Roman" w:hAnsi="Times New Roman"/>
          <w:sz w:val="18"/>
          <w:szCs w:val="18"/>
        </w:rPr>
        <w:t xml:space="preserve"> Apresentada pela Lei Estadual nº 1.522/2004, regulamentada pelo Decreto Estadual nº 4.669/2012 e instruído pela Instrução Normativa Conjunta </w:t>
      </w:r>
      <w:proofErr w:type="spellStart"/>
      <w:r>
        <w:rPr>
          <w:rFonts w:ascii="Times New Roman" w:hAnsi="Times New Roman"/>
          <w:sz w:val="18"/>
          <w:szCs w:val="18"/>
        </w:rPr>
        <w:t>CGE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>FAZ</w:t>
      </w:r>
      <w:proofErr w:type="spellEnd"/>
      <w:r>
        <w:rPr>
          <w:rFonts w:ascii="Times New Roman" w:hAnsi="Times New Roman"/>
          <w:sz w:val="18"/>
          <w:szCs w:val="18"/>
        </w:rPr>
        <w:t>/SEPLAN nº 001/2013.</w:t>
      </w:r>
    </w:p>
    <w:p w:rsidR="00F86B4A" w:rsidRDefault="00F86B4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86B4A" w:rsidRDefault="0037261B">
      <w:pPr>
        <w:spacing w:after="0" w:line="240" w:lineRule="auto"/>
        <w:rPr>
          <w:rFonts w:ascii="Times New Roman" w:eastAsia="Arial" w:hAnsi="Times New Roman"/>
          <w:b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50" w:type="pct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2227"/>
        <w:gridCol w:w="832"/>
        <w:gridCol w:w="818"/>
      </w:tblGrid>
      <w:tr w:rsidR="00F86B4A">
        <w:trPr>
          <w:trHeight w:val="62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Exigências para Formalização de Procedimentos para </w:t>
            </w:r>
          </w:p>
          <w:p w:rsidR="00F86B4A" w:rsidRDefault="0037261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Concessão de Suprimento de Fundos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S/N/NA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Folha</w:t>
            </w:r>
          </w:p>
        </w:tc>
      </w:tr>
      <w:tr w:rsidR="00F86B4A">
        <w:trPr>
          <w:trHeight w:val="281"/>
        </w:trPr>
        <w:tc>
          <w:tcPr>
            <w:tcW w:w="8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F86B4A" w:rsidRDefault="00372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FASE DE SOLICITAÇÃO</w:t>
            </w:r>
          </w:p>
        </w:tc>
      </w:tr>
      <w:tr w:rsidR="00F86B4A">
        <w:trPr>
          <w:trHeight w:val="102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formalizado a concessão de adiantamento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no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Sistema de Gestão de Documentos </w:t>
            </w:r>
            <w:proofErr w:type="spellStart"/>
            <w:r>
              <w:rPr>
                <w:rFonts w:ascii="Times New Roman" w:eastAsia="Arial" w:hAnsi="Times New Roman"/>
                <w:b/>
                <w:sz w:val="18"/>
                <w:szCs w:val="18"/>
              </w:rPr>
              <w:t>SGD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>, no formato digital, protocolizada e autuada? (Art. 13 do Decreto Estadual nº 4.669/2012; art. 48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979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Foi verificado</w:t>
            </w:r>
            <w:r>
              <w:rPr>
                <w:rStyle w:val="FootnoteAnchor"/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footnoteReference w:id="1"/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se o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servidor responsável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está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apto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à concessão de adiantamento e aplicação dos recursos? (art.  2º da Lei Estadua</w:t>
            </w:r>
            <w:bookmarkStart w:id="0" w:name="__DdeLink__386_1454198091"/>
            <w:bookmarkEnd w:id="0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l nº 1.522/2004, c/c o art. 69 da Lei Federal nº 4.320/64,</w:t>
            </w:r>
            <w:r>
              <w:rPr>
                <w:rFonts w:ascii="Times New Roman" w:eastAsia="Arial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IN Conjunta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/SEPLAN nº 01/2013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980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A concessão de adiantamento atende aos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valores máximos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estabelecidos na legislação específica? (art. 7º e 8º do Decreto Estadual nº 4.669/2012 c/c IN Conjunta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/SEPLAN nº 01/2013)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97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autorização de adiantamento solicitada ao ordenador de despesa via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“Memorando de Solicitação de Despesas”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?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(art. 4º da IN Conjunta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/SEPLAN nº 01/2013)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52"/>
        </w:trPr>
        <w:tc>
          <w:tcPr>
            <w:tcW w:w="8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widowControl w:val="0"/>
              <w:spacing w:after="0"/>
              <w:ind w:left="4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requisição específica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para a concessão de adiantamento, com base nos anexos, conforme art. 3º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nº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4.669/2012?</w:t>
            </w:r>
          </w:p>
        </w:tc>
      </w:tr>
      <w:tr w:rsidR="00F86B4A">
        <w:trPr>
          <w:trHeight w:val="76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Solicitação de Concessão de Adiantamento –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SCA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? (art. 3º, inciso I do Decreto Estadual nº 4.669/2012 c/c IN conjunta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/SEPLAN nº 01/2013).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3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Anexo II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Plano de Aplicação, aprovado pelo ordenador? (art. 3º, inciso I, c/c §3º, do Decreto Estadual n° 4.669/2012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3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lastRenderedPageBreak/>
              <w:t xml:space="preserve">Anexo </w:t>
            </w:r>
            <w:proofErr w:type="spellStart"/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III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- Portaria de Concessão – (art. 3º, inciso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III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, §1º, incisos I ao VI do Decreto Estadual n° 4.669/2012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F86B4A" w:rsidRDefault="0037261B">
            <w:pPr>
              <w:pStyle w:val="PargrafodaLista"/>
              <w:widowControl w:val="0"/>
              <w:spacing w:after="0"/>
              <w:ind w:left="426" w:right="8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Nela deve constar: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1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Informações pessoais do servidor público?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7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importância a adiantar, indicada com algarismo e por extenso?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8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Classificação orçamentária completa da despesa?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0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Períodos de aplicação dos recursos e os prazos para prestação de contas?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5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Os valores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aplicáveis envolvem mais de uma categoria de programação?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15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 o limite do saque em espécie?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624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Detalhamento da Dotação – </w:t>
            </w:r>
            <w:proofErr w:type="spellStart"/>
            <w:r>
              <w:rPr>
                <w:rFonts w:ascii="Times New Roman" w:eastAsia="Arial" w:hAnsi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</w:rPr>
              <w:t>? (art. 23, inc. I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5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Consta(m) </w:t>
            </w:r>
            <w:r>
              <w:rPr>
                <w:rFonts w:ascii="Times New Roman" w:eastAsia="Arial" w:hAnsi="Times New Roman"/>
                <w:b/>
                <w:color w:val="000000"/>
                <w:sz w:val="18"/>
                <w:szCs w:val="18"/>
                <w:lang w:eastAsia="pt-BR"/>
              </w:rPr>
              <w:t>Nota(s) de Empenho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devidamente assinada pelos responsáveis da unidade orçamentária com a devida identificação do suprido, com a descrição clara e sucinta de modo que possibilite a identificação do objeto da despesa? (art. 4º do Decreto Estadual n° 4.669/2012, c/c a IN Conju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/SEPLAN nº 01/2013; art. 6º, art. 11 e 12, inc.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IV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, “a” do Decreto Orçamentário nº 6.237/2021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6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A Nota de Empenho está de acordo com a Portaria e o Plano de Aplicação? (confrontar)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1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Nota de Liquidação, de acordo com a portaria e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 a(s) Nota(s) de Empenho(s)?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47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Consta a Programação de Desembolso, emitida de acordo com a Portaria e Nota(s) de Empenho(s)?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062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O responsável pelo adiantamento foi inscrito, por meio do seu CPF, na contabilidade em conta própria de responsabilidade?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(art. 5º do Decreto Estadual nº 4.669/2012, c/c a IN Conjunta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CGE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SEFAZ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/SEPLAN nº 01/2013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78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Solicitação de Compras - Anexo II, com todos os campos preenchidos e devidamente autorizada pelos responsáveis? (art. 24, inc. I e art. 61, inc. II do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Decreto Orçamentário nº 6.237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32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Relação Externa – RE?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(art. 64, da Lei nº 4.320/64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682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nos autos a ordem que destinou ao estabelecimento bancário a disponibilidade do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limite do cartão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, conforme art. 10, inciso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 xml:space="preserve">Estadual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4.669/2012?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510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Consta a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publicação do extrato da Portaria?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(art. 16 da Lei Federal 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8.666/93)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801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Foi observada se há continuidade do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t-BR"/>
              </w:rPr>
              <w:t>fracionamento de despesas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no exercício, na prestação de outro adiantamento? (art. 7º, § 2º, do Decreto </w:t>
            </w: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pt-BR"/>
              </w:rPr>
              <w:t>Estadual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nº 4.669/2012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86B4A">
        <w:trPr>
          <w:trHeight w:val="1035"/>
        </w:trPr>
        <w:tc>
          <w:tcPr>
            <w:tcW w:w="51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37261B">
            <w:pPr>
              <w:pStyle w:val="PargrafodaLista"/>
              <w:widowControl w:val="0"/>
              <w:numPr>
                <w:ilvl w:val="0"/>
                <w:numId w:val="1"/>
              </w:numPr>
              <w:spacing w:after="0"/>
              <w:ind w:left="426" w:right="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Foram inseridas as informações da concessão de aditamento no </w:t>
            </w:r>
            <w:r>
              <w:rPr>
                <w:rFonts w:ascii="Times New Roman" w:eastAsia="Arial" w:hAnsi="Times New Roman"/>
                <w:b/>
                <w:sz w:val="18"/>
                <w:szCs w:val="18"/>
              </w:rPr>
              <w:t>Sistema de Acompanhamento dos Adiantamentos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(</w:t>
            </w:r>
            <w:hyperlink r:id="rId9">
              <w:r>
                <w:rPr>
                  <w:rFonts w:ascii="Times New Roman" w:eastAsia="Arial" w:hAnsi="Times New Roman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/>
                <w:sz w:val="18"/>
                <w:szCs w:val="18"/>
              </w:rPr>
              <w:t xml:space="preserve">)?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(art. 45, inc.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“c” do Decreto Orçamentário nº </w:t>
            </w:r>
            <w:r>
              <w:rPr>
                <w:rFonts w:ascii="Times New Roman" w:hAnsi="Times New Roman"/>
                <w:sz w:val="18"/>
                <w:szCs w:val="18"/>
              </w:rPr>
              <w:t>6.237/2021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6B4A" w:rsidRDefault="00F86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86B4A" w:rsidRDefault="0037261B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90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6B4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4A" w:rsidRDefault="00F86B4A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6B4A" w:rsidRDefault="00F86B4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37261B" w:rsidRDefault="0037261B" w:rsidP="0037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p w:rsidR="0037261B" w:rsidRDefault="0037261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</w:tblGrid>
      <w:tr w:rsidR="0037261B" w:rsidTr="0037261B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696" w:type="dxa"/>
          </w:tcPr>
          <w:p w:rsidR="0037261B" w:rsidRDefault="0037261B">
            <w:pPr>
              <w:spacing w:after="0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F86B4A" w:rsidRDefault="00F86B4A" w:rsidP="0037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F86B4A">
      <w:headerReference w:type="default" r:id="rId10"/>
      <w:pgSz w:w="11906" w:h="16838"/>
      <w:pgMar w:top="2099" w:right="1134" w:bottom="1701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261B">
      <w:pPr>
        <w:spacing w:after="0" w:line="240" w:lineRule="auto"/>
      </w:pPr>
      <w:r>
        <w:separator/>
      </w:r>
    </w:p>
  </w:endnote>
  <w:endnote w:type="continuationSeparator" w:id="0">
    <w:p w:rsidR="00000000" w:rsidRDefault="0037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A" w:rsidRDefault="0037261B">
      <w:pPr>
        <w:rPr>
          <w:sz w:val="12"/>
        </w:rPr>
      </w:pPr>
      <w:r>
        <w:separator/>
      </w:r>
    </w:p>
  </w:footnote>
  <w:footnote w:type="continuationSeparator" w:id="0">
    <w:p w:rsidR="00F86B4A" w:rsidRDefault="0037261B">
      <w:pPr>
        <w:rPr>
          <w:sz w:val="12"/>
        </w:rPr>
      </w:pPr>
      <w:r>
        <w:continuationSeparator/>
      </w:r>
    </w:p>
  </w:footnote>
  <w:footnote w:id="1">
    <w:p w:rsidR="00F86B4A" w:rsidRDefault="0037261B">
      <w:pPr>
        <w:pStyle w:val="Textodenotaderodap"/>
        <w:widowControl w:val="0"/>
        <w:rPr>
          <w:rFonts w:ascii="Times New Roman" w:hAnsi="Times New Roman"/>
          <w:sz w:val="16"/>
          <w:szCs w:val="16"/>
        </w:rPr>
      </w:pPr>
      <w:r>
        <w:rPr>
          <w:rStyle w:val="FootnoteCharacters"/>
        </w:rPr>
        <w:footnoteRef/>
      </w:r>
      <w:r>
        <w:t xml:space="preserve">  </w:t>
      </w:r>
      <w:r>
        <w:rPr>
          <w:rFonts w:ascii="Times New Roman" w:hAnsi="Times New Roman"/>
          <w:sz w:val="16"/>
          <w:szCs w:val="16"/>
        </w:rPr>
        <w:t xml:space="preserve">Deve ser verificado na conta de controle do </w:t>
      </w:r>
      <w:proofErr w:type="spellStart"/>
      <w:r>
        <w:rPr>
          <w:rFonts w:ascii="Times New Roman" w:hAnsi="Times New Roman"/>
          <w:sz w:val="16"/>
          <w:szCs w:val="16"/>
        </w:rPr>
        <w:t>SIAFETO</w:t>
      </w:r>
      <w:proofErr w:type="spellEnd"/>
      <w:r>
        <w:rPr>
          <w:rFonts w:ascii="Times New Roman" w:hAnsi="Times New Roman"/>
          <w:sz w:val="16"/>
          <w:szCs w:val="16"/>
        </w:rPr>
        <w:t xml:space="preserve"> e no Sistema de Acompanhamento dos Adiantamentos (</w:t>
      </w:r>
      <w:hyperlink r:id="rId1">
        <w:r>
          <w:rPr>
            <w:rFonts w:ascii="Times New Roman" w:hAnsi="Times New Roman"/>
            <w:sz w:val="16"/>
            <w:szCs w:val="16"/>
          </w:rPr>
          <w:t>www.gestao.cge.to.gov.br</w:t>
        </w:r>
      </w:hyperlink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37261B" w:rsidTr="0037261B">
      <w:trPr>
        <w:trHeight w:val="859"/>
      </w:trPr>
      <w:tc>
        <w:tcPr>
          <w:tcW w:w="5813" w:type="dxa"/>
          <w:hideMark/>
        </w:tcPr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</w:pPr>
          <w:r>
            <w:rPr>
              <w:rFonts w:cs="DejaVu Sans"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 w:cs="Calibri"/>
              <w:bCs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Calibri" w:cs="Calibri"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>
            <w:rPr>
              <w:rFonts w:cs="Calibri"/>
              <w:sz w:val="18"/>
              <w:szCs w:val="18"/>
            </w:rPr>
            <w:t xml:space="preserve"> 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Palmas – Tocantins – CEP: 77.001-002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proofErr w:type="spellStart"/>
          <w:r>
            <w:rPr>
              <w:rFonts w:cs="Calibri"/>
              <w:sz w:val="18"/>
              <w:szCs w:val="18"/>
            </w:rPr>
            <w:t>Tel</w:t>
          </w:r>
          <w:proofErr w:type="spellEnd"/>
          <w:r>
            <w:rPr>
              <w:rFonts w:cs="Calibri"/>
              <w:sz w:val="18"/>
              <w:szCs w:val="18"/>
            </w:rPr>
            <w:t>: +55 63 3218-2563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</w:pPr>
          <w:hyperlink r:id="rId2" w:history="1">
            <w:r>
              <w:rPr>
                <w:rStyle w:val="Hyperlink"/>
                <w:rFonts w:cs="Calibri"/>
                <w:sz w:val="18"/>
                <w:szCs w:val="18"/>
              </w:rPr>
              <w:t>gabexecutivo@controladoria.to.gov.br</w:t>
            </w:r>
          </w:hyperlink>
          <w:r>
            <w:rPr>
              <w:rFonts w:cs="Calibri"/>
              <w:sz w:val="18"/>
              <w:szCs w:val="18"/>
            </w:rPr>
            <w:t xml:space="preserve"> </w:t>
          </w:r>
        </w:p>
        <w:p w:rsidR="0037261B" w:rsidRDefault="0037261B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</w:pPr>
          <w:hyperlink r:id="rId3" w:history="1">
            <w:r>
              <w:rPr>
                <w:rStyle w:val="Hyperlink"/>
                <w:rFonts w:cs="Calibri"/>
                <w:sz w:val="18"/>
                <w:szCs w:val="18"/>
              </w:rPr>
              <w:t>www.to.gov.br/cge</w:t>
            </w:r>
          </w:hyperlink>
        </w:p>
      </w:tc>
    </w:tr>
  </w:tbl>
  <w:p w:rsidR="00F86B4A" w:rsidRDefault="00F86B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369"/>
    <w:multiLevelType w:val="multilevel"/>
    <w:tmpl w:val="12083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AB3E51"/>
    <w:multiLevelType w:val="multilevel"/>
    <w:tmpl w:val="E5F6B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5E603F"/>
    <w:multiLevelType w:val="multilevel"/>
    <w:tmpl w:val="5358B5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4A"/>
    <w:rsid w:val="0037261B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AF"/>
    <w:pPr>
      <w:spacing w:after="200" w:line="276" w:lineRule="auto"/>
    </w:pPr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35AF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435AF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4435A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4435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5AF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35AF"/>
    <w:rPr>
      <w:rFonts w:ascii="Tahoma" w:eastAsia="Calibri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qFormat/>
    <w:rsid w:val="00E23AC4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856F4"/>
    <w:rPr>
      <w:rFonts w:cs="Times New Roman"/>
      <w:szCs w:val="20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856F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link w:val="CorpodetextoChar"/>
    <w:rsid w:val="004435AF"/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CF70AB"/>
    <w:rPr>
      <w:rFonts w:cs="Lohit Devanagari"/>
    </w:rPr>
  </w:style>
  <w:style w:type="paragraph" w:styleId="Legenda">
    <w:name w:val="caption"/>
    <w:basedOn w:val="Normal"/>
    <w:qFormat/>
    <w:rsid w:val="00CF70AB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CF70A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CF70AB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CF70AB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35A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4435AF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5A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35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43A1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F70AB"/>
    <w:pPr>
      <w:suppressLineNumbers/>
    </w:pPr>
  </w:style>
  <w:style w:type="paragraph" w:customStyle="1" w:styleId="Ttulodetabela">
    <w:name w:val="Título de tabela"/>
    <w:basedOn w:val="Contedodatabela"/>
    <w:qFormat/>
    <w:rsid w:val="00CF70AB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56F4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1B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5D5A-4AAA-4E69-841E-AD32A68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805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BURGEL DE CASTRO</dc:creator>
  <dc:description/>
  <cp:lastModifiedBy>AMANDA FELIX RIBEIRO</cp:lastModifiedBy>
  <cp:revision>28</cp:revision>
  <cp:lastPrinted>2019-09-12T18:40:00Z</cp:lastPrinted>
  <dcterms:created xsi:type="dcterms:W3CDTF">2015-07-17T12:04:00Z</dcterms:created>
  <dcterms:modified xsi:type="dcterms:W3CDTF">2021-08-27T19:40:00Z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