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3C" w:rsidRPr="00CB42EE" w:rsidRDefault="00037CB4">
      <w:pPr>
        <w:spacing w:line="360" w:lineRule="auto"/>
        <w:jc w:val="center"/>
        <w:rPr>
          <w:rFonts w:ascii="Arial" w:eastAsia="Arial" w:hAnsi="Arial"/>
          <w:b/>
        </w:rPr>
      </w:pPr>
      <w:r w:rsidRPr="00CB42EE">
        <w:rPr>
          <w:rFonts w:ascii="Times New Roman" w:eastAsia="Arial" w:hAnsi="Times New Roman"/>
          <w:b/>
        </w:rPr>
        <w:t xml:space="preserve">CHECKLIST </w:t>
      </w:r>
    </w:p>
    <w:p w:rsidR="00EC50CC" w:rsidRPr="00CB42EE" w:rsidRDefault="00EC50CC">
      <w:pPr>
        <w:spacing w:line="360" w:lineRule="auto"/>
        <w:ind w:right="-1"/>
        <w:jc w:val="center"/>
        <w:rPr>
          <w:rFonts w:ascii="Times New Roman" w:eastAsia="Arial" w:hAnsi="Times New Roman"/>
          <w:b/>
          <w:u w:val="single"/>
        </w:rPr>
      </w:pPr>
    </w:p>
    <w:p w:rsidR="000C563C" w:rsidRPr="00CB42EE" w:rsidRDefault="00037CB4">
      <w:pPr>
        <w:spacing w:line="360" w:lineRule="auto"/>
        <w:ind w:right="-1"/>
        <w:jc w:val="center"/>
        <w:rPr>
          <w:rFonts w:ascii="Times New Roman" w:hAnsi="Times New Roman"/>
        </w:rPr>
      </w:pPr>
      <w:r w:rsidRPr="00CB42EE">
        <w:rPr>
          <w:rFonts w:ascii="Times New Roman" w:eastAsia="Arial" w:hAnsi="Times New Roman"/>
          <w:b/>
          <w:u w:val="single"/>
        </w:rPr>
        <w:t xml:space="preserve">Prestação de </w:t>
      </w:r>
      <w:proofErr w:type="gramStart"/>
      <w:r w:rsidRPr="00CB42EE">
        <w:rPr>
          <w:rFonts w:ascii="Times New Roman" w:eastAsia="Arial" w:hAnsi="Times New Roman"/>
          <w:b/>
          <w:u w:val="single"/>
        </w:rPr>
        <w:t xml:space="preserve">Contas </w:t>
      </w:r>
      <w:r w:rsidR="002341A7">
        <w:rPr>
          <w:rFonts w:ascii="Times New Roman" w:eastAsia="Arial" w:hAnsi="Times New Roman"/>
          <w:b/>
          <w:u w:val="single"/>
        </w:rPr>
        <w:t xml:space="preserve"> -</w:t>
      </w:r>
      <w:r w:rsidRPr="00CB42EE">
        <w:rPr>
          <w:rFonts w:ascii="Times New Roman" w:eastAsia="Arial" w:hAnsi="Times New Roman"/>
          <w:b/>
          <w:u w:val="single"/>
        </w:rPr>
        <w:t>Convênio</w:t>
      </w:r>
      <w:proofErr w:type="gramEnd"/>
      <w:r w:rsidRPr="00CB42EE">
        <w:rPr>
          <w:rFonts w:ascii="Times New Roman" w:eastAsia="Arial" w:hAnsi="Times New Roman"/>
          <w:b/>
          <w:u w:val="single"/>
        </w:rPr>
        <w:t xml:space="preserve"> Federal </w:t>
      </w:r>
    </w:p>
    <w:p w:rsidR="000C563C" w:rsidRDefault="000C563C">
      <w:pPr>
        <w:spacing w:line="360" w:lineRule="auto"/>
        <w:rPr>
          <w:rFonts w:ascii="Times New Roman" w:eastAsia="Arial" w:hAnsi="Times New Roman"/>
        </w:rPr>
      </w:pP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Órgão/Entid</w:t>
      </w:r>
      <w:bookmarkStart w:id="0" w:name="_GoBack"/>
      <w:bookmarkEnd w:id="0"/>
      <w:r w:rsidRPr="00CB42EE">
        <w:rPr>
          <w:rFonts w:ascii="Times New Roman" w:eastAsia="Arial" w:hAnsi="Times New Roman" w:cs="Times New Roman"/>
          <w:sz w:val="18"/>
          <w:szCs w:val="18"/>
        </w:rPr>
        <w:t>ade (convenente): ______________________________________________________</w:t>
      </w:r>
      <w:r w:rsidR="002341A7">
        <w:rPr>
          <w:rFonts w:ascii="Times New Roman" w:eastAsia="Arial" w:hAnsi="Times New Roman" w:cs="Times New Roman"/>
          <w:sz w:val="18"/>
          <w:szCs w:val="18"/>
        </w:rPr>
        <w:t>____________</w:t>
      </w:r>
      <w:r w:rsidRPr="00CB42EE">
        <w:rPr>
          <w:rFonts w:ascii="Times New Roman" w:eastAsia="Arial" w:hAnsi="Times New Roman" w:cs="Times New Roman"/>
          <w:sz w:val="18"/>
          <w:szCs w:val="18"/>
        </w:rPr>
        <w:t>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Órgão/Entidade (Concedente): ________________________________________________________________</w:t>
      </w:r>
      <w:r w:rsidR="002341A7">
        <w:rPr>
          <w:rFonts w:ascii="Times New Roman" w:eastAsia="Arial" w:hAnsi="Times New Roman" w:cs="Times New Roman"/>
          <w:sz w:val="18"/>
          <w:szCs w:val="18"/>
        </w:rPr>
        <w:t>___________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Número do Convênio: ______________________________________________________________________</w:t>
      </w:r>
      <w:r w:rsidR="002341A7">
        <w:rPr>
          <w:rFonts w:ascii="Times New Roman" w:eastAsia="Arial" w:hAnsi="Times New Roman" w:cs="Times New Roman"/>
          <w:sz w:val="18"/>
          <w:szCs w:val="18"/>
        </w:rPr>
        <w:t>____________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Processo nº: ______________________________________________________________________________</w:t>
      </w:r>
      <w:r w:rsidR="002341A7">
        <w:rPr>
          <w:rFonts w:ascii="Times New Roman" w:eastAsia="Arial" w:hAnsi="Times New Roman" w:cs="Times New Roman"/>
          <w:sz w:val="18"/>
          <w:szCs w:val="18"/>
        </w:rPr>
        <w:t>____________</w:t>
      </w:r>
    </w:p>
    <w:p w:rsidR="000C563C" w:rsidRPr="00CB42EE" w:rsidRDefault="000C563C">
      <w:pPr>
        <w:spacing w:line="360" w:lineRule="auto"/>
        <w:rPr>
          <w:rFonts w:ascii="Times New Roman" w:eastAsia="Times New Roman" w:hAnsi="Times New Roman" w:cs="Times New Roman"/>
          <w:sz w:val="18"/>
          <w:szCs w:val="18"/>
        </w:rPr>
      </w:pPr>
    </w:p>
    <w:p w:rsidR="000C563C" w:rsidRPr="00CB42EE" w:rsidRDefault="00037CB4">
      <w:pPr>
        <w:spacing w:line="360" w:lineRule="auto"/>
        <w:ind w:right="-1"/>
        <w:jc w:val="both"/>
        <w:rPr>
          <w:rFonts w:ascii="Times New Roman" w:hAnsi="Times New Roman" w:cs="Times New Roman"/>
          <w:sz w:val="18"/>
          <w:szCs w:val="18"/>
        </w:rPr>
      </w:pPr>
      <w:r w:rsidRPr="00CB42EE">
        <w:rPr>
          <w:rFonts w:ascii="Times New Roman" w:eastAsia="Arial" w:hAnsi="Times New Roman" w:cs="Times New Roman"/>
          <w:b/>
          <w:sz w:val="18"/>
          <w:szCs w:val="18"/>
          <w:u w:val="single"/>
        </w:rPr>
        <w:t>Convênio</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Acordo que disciplina a transferência de recursos financeiros entre os entes da</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Administração Pública para a execução descentralizada de programas de governo de interesse recíproco de mútua cooperação, com o fim de demonstrar a correta aplicação dos recursos transferidos, conforme Parágrafo único, do art. 70 da CF/88, Portaria Interministerial nº 424/2016 e Decreto Federal nº 6.170/2007. </w:t>
      </w:r>
    </w:p>
    <w:p w:rsidR="000C563C" w:rsidRPr="00CB42EE" w:rsidRDefault="000C563C">
      <w:pPr>
        <w:spacing w:line="360" w:lineRule="auto"/>
        <w:rPr>
          <w:rFonts w:ascii="Times New Roman" w:eastAsia="Times New Roman" w:hAnsi="Times New Roman" w:cs="Times New Roman"/>
          <w:sz w:val="18"/>
          <w:szCs w:val="18"/>
        </w:rPr>
      </w:pPr>
    </w:p>
    <w:p w:rsidR="000C563C" w:rsidRPr="00CB42EE" w:rsidRDefault="00037CB4">
      <w:pPr>
        <w:ind w:right="-1"/>
        <w:rPr>
          <w:rFonts w:ascii="Times New Roman" w:hAnsi="Times New Roman" w:cs="Times New Roman"/>
          <w:sz w:val="18"/>
          <w:szCs w:val="18"/>
        </w:rPr>
      </w:pPr>
      <w:r w:rsidRPr="00CB42EE">
        <w:rPr>
          <w:rFonts w:ascii="Times New Roman" w:eastAsia="Arial" w:hAnsi="Times New Roman" w:cs="Times New Roman"/>
          <w:b/>
          <w:sz w:val="18"/>
          <w:szCs w:val="18"/>
        </w:rPr>
        <w:t>Legenda: S = Sim; N = Não; NA = Não se Aplica.</w:t>
      </w:r>
    </w:p>
    <w:tbl>
      <w:tblPr>
        <w:tblW w:w="5000" w:type="pct"/>
        <w:tblCellMar>
          <w:left w:w="70" w:type="dxa"/>
          <w:right w:w="70" w:type="dxa"/>
        </w:tblCellMar>
        <w:tblLook w:val="0000" w:firstRow="0" w:lastRow="0" w:firstColumn="0" w:lastColumn="0" w:noHBand="0" w:noVBand="0"/>
      </w:tblPr>
      <w:tblGrid>
        <w:gridCol w:w="5601"/>
        <w:gridCol w:w="1838"/>
        <w:gridCol w:w="995"/>
        <w:gridCol w:w="777"/>
      </w:tblGrid>
      <w:tr w:rsidR="000C563C" w:rsidRPr="00CB42EE">
        <w:trPr>
          <w:trHeight w:val="273"/>
        </w:trPr>
        <w:tc>
          <w:tcPr>
            <w:tcW w:w="551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A5D8F" w:rsidRDefault="00037CB4">
            <w:pPr>
              <w:spacing w:line="276" w:lineRule="auto"/>
              <w:ind w:left="142" w:right="73"/>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Exigência para Formalização de Procedimentos para</w:t>
            </w:r>
          </w:p>
          <w:p w:rsidR="000C563C" w:rsidRPr="00CB42EE" w:rsidRDefault="00037CB4">
            <w:pPr>
              <w:spacing w:line="276" w:lineRule="auto"/>
              <w:ind w:left="142" w:right="73"/>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 xml:space="preserve"> Prestação de Contas de Convênio</w:t>
            </w:r>
            <w:r w:rsidR="003C48F9">
              <w:rPr>
                <w:rFonts w:ascii="Times New Roman" w:eastAsia="Arial" w:hAnsi="Times New Roman" w:cs="Times New Roman"/>
                <w:b/>
                <w:sz w:val="18"/>
                <w:szCs w:val="18"/>
              </w:rPr>
              <w:t xml:space="preserve"> Federal</w:t>
            </w:r>
          </w:p>
        </w:tc>
        <w:tc>
          <w:tcPr>
            <w:tcW w:w="18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left="-70"/>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Responsável</w:t>
            </w:r>
          </w:p>
        </w:tc>
        <w:tc>
          <w:tcPr>
            <w:tcW w:w="9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left="15"/>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S/N/NA</w:t>
            </w:r>
          </w:p>
        </w:tc>
        <w:tc>
          <w:tcPr>
            <w:tcW w:w="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right="-41"/>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Folha</w:t>
            </w:r>
          </w:p>
        </w:tc>
      </w:tr>
      <w:tr w:rsidR="000C563C" w:rsidRPr="00CB42EE">
        <w:trPr>
          <w:trHeight w:val="357"/>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Consta </w:t>
            </w:r>
            <w:r w:rsidRPr="00CB42EE">
              <w:rPr>
                <w:rFonts w:ascii="Times New Roman" w:eastAsia="Arial" w:hAnsi="Times New Roman" w:cs="Times New Roman"/>
                <w:b/>
                <w:sz w:val="18"/>
                <w:szCs w:val="18"/>
              </w:rPr>
              <w:t>ofício</w:t>
            </w:r>
            <w:r w:rsidRPr="00CB42EE">
              <w:rPr>
                <w:rFonts w:ascii="Times New Roman" w:eastAsia="Arial" w:hAnsi="Times New Roman" w:cs="Times New Roman"/>
                <w:sz w:val="18"/>
                <w:szCs w:val="18"/>
              </w:rPr>
              <w:t xml:space="preserve"> encaminhando a Prestação de Contas ao Órgão Concedente?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trike/>
                <w:sz w:val="18"/>
                <w:szCs w:val="18"/>
              </w:rPr>
            </w:pPr>
            <w:r w:rsidRPr="00CB42EE">
              <w:rPr>
                <w:rFonts w:ascii="Times New Roman" w:hAnsi="Times New Roman" w:cs="Times New Roman"/>
                <w:color w:val="000000"/>
                <w:sz w:val="18"/>
                <w:szCs w:val="18"/>
                <w:shd w:val="clear" w:color="auto" w:fill="FFFFFF"/>
              </w:rPr>
              <w:t>Os atos e os procedimentos relativos à prestação de contas foram realizados no SICONV</w:t>
            </w:r>
            <w:r w:rsidR="00D50CBD">
              <w:rPr>
                <w:rStyle w:val="Refdenotaderodap"/>
                <w:rFonts w:ascii="Times New Roman" w:hAnsi="Times New Roman" w:cs="Times New Roman"/>
                <w:color w:val="000000"/>
                <w:sz w:val="18"/>
                <w:szCs w:val="18"/>
                <w:shd w:val="clear" w:color="auto" w:fill="FFFFFF"/>
              </w:rPr>
              <w:footnoteReference w:id="1"/>
            </w:r>
            <w:r w:rsidRPr="00CB42EE">
              <w:rPr>
                <w:rFonts w:ascii="Times New Roman" w:hAnsi="Times New Roman" w:cs="Times New Roman"/>
                <w:color w:val="000000"/>
                <w:sz w:val="18"/>
                <w:szCs w:val="18"/>
                <w:shd w:val="clear" w:color="auto" w:fill="FFFFFF"/>
              </w:rPr>
              <w:t xml:space="preserve">, aberto à consulta pública, por meio do Portal dos Convênios, conforme prevê o art. 4º das PI </w:t>
            </w:r>
            <w:r w:rsidRPr="00CB42EE">
              <w:rPr>
                <w:rFonts w:ascii="Times New Roman" w:eastAsia="Arial" w:hAnsi="Times New Roman" w:cs="Times New Roman"/>
                <w:sz w:val="18"/>
                <w:szCs w:val="18"/>
              </w:rPr>
              <w:t>nº</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b/>
                <w:sz w:val="18"/>
                <w:szCs w:val="18"/>
              </w:rPr>
            </w:pPr>
            <w:r w:rsidRPr="00CB42EE">
              <w:rPr>
                <w:rFonts w:ascii="Times New Roman" w:eastAsia="Arial" w:hAnsi="Times New Roman" w:cs="Times New Roman"/>
                <w:sz w:val="18"/>
                <w:szCs w:val="18"/>
              </w:rPr>
              <w:t xml:space="preserve">Em caso de </w:t>
            </w:r>
            <w:r w:rsidRPr="00CB42EE">
              <w:rPr>
                <w:rFonts w:ascii="Times New Roman" w:eastAsia="Arial" w:hAnsi="Times New Roman" w:cs="Times New Roman"/>
                <w:b/>
                <w:sz w:val="18"/>
                <w:szCs w:val="18"/>
              </w:rPr>
              <w:t>eventuais Termos</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Aditivos </w:t>
            </w:r>
            <w:r w:rsidRPr="00CB42EE">
              <w:rPr>
                <w:rFonts w:ascii="Times New Roman" w:eastAsia="Arial" w:hAnsi="Times New Roman" w:cs="Times New Roman"/>
                <w:sz w:val="18"/>
                <w:szCs w:val="18"/>
              </w:rPr>
              <w:t>os mesmos tiveram seus extratos registrados no SICONV?</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Foi respeitado o </w:t>
            </w:r>
            <w:r w:rsidRPr="00CB42EE">
              <w:rPr>
                <w:rFonts w:ascii="Times New Roman" w:eastAsia="Arial" w:hAnsi="Times New Roman" w:cs="Times New Roman"/>
                <w:b/>
                <w:sz w:val="18"/>
                <w:szCs w:val="18"/>
              </w:rPr>
              <w:t xml:space="preserve">prazo máximo de 60 (sessenta) dias, após </w:t>
            </w:r>
            <w:r w:rsidRPr="00CB42EE">
              <w:rPr>
                <w:rFonts w:ascii="Times New Roman" w:eastAsia="Arial" w:hAnsi="Times New Roman" w:cs="Times New Roman"/>
                <w:sz w:val="18"/>
                <w:szCs w:val="18"/>
              </w:rPr>
              <w:t>o encerramento da vigência</w:t>
            </w:r>
            <w:r w:rsidRPr="00CB42EE">
              <w:rPr>
                <w:rFonts w:ascii="Times New Roman" w:eastAsia="Arial" w:hAnsi="Times New Roman" w:cs="Times New Roman"/>
                <w:b/>
                <w:sz w:val="18"/>
                <w:szCs w:val="18"/>
              </w:rPr>
              <w:t xml:space="preserve"> </w:t>
            </w:r>
            <w:r w:rsidRPr="00CB42EE">
              <w:rPr>
                <w:rFonts w:ascii="Times New Roman" w:hAnsi="Times New Roman" w:cs="Times New Roman"/>
                <w:sz w:val="18"/>
                <w:szCs w:val="18"/>
              </w:rPr>
              <w:t xml:space="preserve">ou a conclusão da execução do objeto o que ocorrer primeiro, </w:t>
            </w:r>
            <w:r w:rsidRPr="00CB42EE">
              <w:rPr>
                <w:rFonts w:ascii="Times New Roman" w:eastAsia="Arial" w:hAnsi="Times New Roman" w:cs="Times New Roman"/>
                <w:sz w:val="18"/>
                <w:szCs w:val="18"/>
              </w:rPr>
              <w:t>para a Prestação de</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Contas do Convênio, tal qual consta no inciso III, do art. 59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79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 xml:space="preserve">Se não, houve a prorrogação </w:t>
            </w:r>
            <w:r w:rsidR="005A5D8F" w:rsidRPr="00CB42EE">
              <w:rPr>
                <w:rFonts w:ascii="Times New Roman" w:eastAsia="Arial" w:hAnsi="Times New Roman" w:cs="Times New Roman"/>
                <w:sz w:val="18"/>
                <w:szCs w:val="18"/>
              </w:rPr>
              <w:t>pela concedente</w:t>
            </w:r>
            <w:r w:rsidRPr="00CB42EE">
              <w:rPr>
                <w:rFonts w:ascii="Times New Roman" w:eastAsia="Arial" w:hAnsi="Times New Roman" w:cs="Times New Roman"/>
                <w:sz w:val="18"/>
                <w:szCs w:val="18"/>
              </w:rPr>
              <w:t xml:space="preserve"> do prazo estabelecido para sua apresentação da prestação de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inc. IV, §1º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Os recursos provenientes de instrumentos firmados pelos seus antecessores foram prestados contas? Se não, foram apresentadas justificativas que demonstrem o impedimento de prestar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 4º e §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rsidTr="005A5D8F">
        <w:trPr>
          <w:trHeight w:val="69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Caso houve a impossibilidade de prestar contas por omissão do antecessor, o novo Administrador solicitou a instauração de Tomada de Contas Especial?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 6º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Foi devolvido à Conta Único do Tesouro, no prazo de 30 (trinta) dias da conclusão, denuncia, rescisão ou extinção do instrumento, os saldos financeiros de recursos remanescentes, inclusive os provenientes das receitas obtidas nas aplicações financeiras realizadas, não utilizadas no objeto pactuado? (art.</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60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Foram divulgadas a devolução do recurso em sítio eletrônico institucional, nos casos de não execução do objeto pactuado ou da extinção ou rescisão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60, § 3º da PI nº</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82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lastRenderedPageBreak/>
              <w:t>Consta na Prestação de Contas Final os elementos que permitem avaliar a execução do objeto e o alcance das metas previstas?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61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r>
      <w:tr w:rsidR="000C563C" w:rsidRPr="00CB42EE" w:rsidTr="00935BBD">
        <w:trPr>
          <w:trHeight w:val="336"/>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1" w:hanging="284"/>
              <w:jc w:val="both"/>
              <w:rPr>
                <w:rFonts w:ascii="Times New Roman" w:hAnsi="Times New Roman" w:cs="Times New Roman"/>
                <w:sz w:val="18"/>
                <w:szCs w:val="18"/>
              </w:rPr>
            </w:pPr>
            <w:r w:rsidRPr="00CB42EE">
              <w:rPr>
                <w:rFonts w:ascii="Times New Roman" w:hAnsi="Times New Roman" w:cs="Times New Roman"/>
                <w:sz w:val="18"/>
                <w:szCs w:val="18"/>
              </w:rPr>
              <w:t>Foram registradas as informações pelo convenente no SICONV</w:t>
            </w:r>
            <w:r w:rsidRPr="00CB42EE">
              <w:rPr>
                <w:rFonts w:ascii="Times New Roman" w:eastAsia="Arial" w:hAnsi="Times New Roman" w:cs="Times New Roman"/>
                <w:sz w:val="18"/>
                <w:szCs w:val="18"/>
              </w:rPr>
              <w:t xml:space="preserve">, na conformidade exigida? </w:t>
            </w:r>
          </w:p>
        </w:tc>
      </w:tr>
      <w:tr w:rsidR="000C563C" w:rsidRPr="00CB42EE">
        <w:trPr>
          <w:trHeight w:val="227"/>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hAnsi="Times New Roman" w:cs="Times New Roman"/>
                <w:b/>
                <w:sz w:val="18"/>
                <w:szCs w:val="18"/>
              </w:rPr>
            </w:pPr>
            <w:r w:rsidRPr="00CB42EE">
              <w:rPr>
                <w:rFonts w:ascii="Times New Roman" w:eastAsia="Arial" w:hAnsi="Times New Roman" w:cs="Times New Roman"/>
                <w:b/>
                <w:sz w:val="18"/>
                <w:szCs w:val="18"/>
              </w:rPr>
              <w:t>Relatório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de Cumprimento do Objeto do Convênio </w:t>
            </w:r>
            <w:r w:rsidRPr="00CB42EE">
              <w:rPr>
                <w:rFonts w:ascii="Times New Roman" w:eastAsia="Arial" w:hAnsi="Times New Roman" w:cs="Times New Roman"/>
                <w:sz w:val="18"/>
                <w:szCs w:val="18"/>
              </w:rPr>
              <w:t>deverá conter os subsídios necessários para a avaliação e manifestação do gestor quanto a efetiva conclusão do objeto pactuado. Justificando as metas atrasadas e não cumpridas.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inciso I, §4º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Na </w:t>
            </w:r>
            <w:r w:rsidRPr="00CB42EE">
              <w:rPr>
                <w:rFonts w:ascii="Times New Roman" w:eastAsia="Arial" w:hAnsi="Times New Roman" w:cs="Times New Roman"/>
                <w:b/>
                <w:sz w:val="18"/>
                <w:szCs w:val="18"/>
              </w:rPr>
              <w:t>Declaração de realização dos</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objetivos </w:t>
            </w:r>
            <w:r w:rsidRPr="00CB42EE">
              <w:rPr>
                <w:rFonts w:ascii="Times New Roman" w:eastAsia="Arial" w:hAnsi="Times New Roman" w:cs="Times New Roman"/>
                <w:sz w:val="18"/>
                <w:szCs w:val="18"/>
              </w:rPr>
              <w:t>a que se propunha o instrumento, informa os objetos, benefícios alcançados e dificuldades encontradas?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 II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eastAsia="Arial" w:hAnsi="Times New Roman" w:cs="Times New Roman"/>
                <w:b/>
                <w:sz w:val="18"/>
                <w:szCs w:val="18"/>
              </w:rPr>
            </w:pPr>
            <w:r w:rsidRPr="00CB42EE">
              <w:rPr>
                <w:rFonts w:ascii="Times New Roman" w:eastAsia="Arial" w:hAnsi="Times New Roman" w:cs="Times New Roman"/>
                <w:sz w:val="18"/>
                <w:szCs w:val="18"/>
              </w:rPr>
              <w:t xml:space="preserve">Consta registro do </w:t>
            </w:r>
            <w:r w:rsidRPr="00CB42EE">
              <w:rPr>
                <w:rFonts w:ascii="Times New Roman" w:eastAsia="Arial" w:hAnsi="Times New Roman" w:cs="Times New Roman"/>
                <w:b/>
                <w:sz w:val="18"/>
                <w:szCs w:val="18"/>
              </w:rPr>
              <w:t>comprovante de recolhimento</w:t>
            </w:r>
            <w:r w:rsidRPr="00CB42EE">
              <w:rPr>
                <w:rFonts w:ascii="Times New Roman" w:eastAsia="Arial" w:hAnsi="Times New Roman" w:cs="Times New Roman"/>
                <w:b/>
                <w:color w:val="FF0000"/>
                <w:sz w:val="18"/>
                <w:szCs w:val="18"/>
              </w:rPr>
              <w:t xml:space="preserve"> </w:t>
            </w:r>
            <w:r w:rsidRPr="00CB42EE">
              <w:rPr>
                <w:rFonts w:ascii="Times New Roman" w:eastAsia="Arial" w:hAnsi="Times New Roman" w:cs="Times New Roman"/>
                <w:b/>
                <w:sz w:val="18"/>
                <w:szCs w:val="18"/>
              </w:rPr>
              <w:t>do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saldo financeiro remanescente não utilizado no objeto pactuado</w:t>
            </w:r>
            <w:r w:rsidRPr="00CB42EE">
              <w:rPr>
                <w:rFonts w:ascii="Times New Roman" w:eastAsia="Arial" w:hAnsi="Times New Roman" w:cs="Times New Roman"/>
                <w:sz w:val="18"/>
                <w:szCs w:val="18"/>
              </w:rPr>
              <w:t>? Em caso de recolhimento o mesmo foi efetuado no prazo máximo de 30 dias a contar da conclusão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 III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eastAsia="Arial" w:hAnsi="Times New Roman" w:cs="Times New Roman"/>
                <w:strike/>
                <w:sz w:val="18"/>
                <w:szCs w:val="18"/>
              </w:rPr>
            </w:pPr>
            <w:r w:rsidRPr="00CB42EE">
              <w:rPr>
                <w:rFonts w:ascii="Times New Roman" w:hAnsi="Times New Roman" w:cs="Times New Roman"/>
                <w:sz w:val="18"/>
                <w:szCs w:val="18"/>
              </w:rPr>
              <w:t xml:space="preserve">Foi assinado o </w:t>
            </w:r>
            <w:r w:rsidRPr="00CB42EE">
              <w:rPr>
                <w:rFonts w:ascii="Times New Roman" w:hAnsi="Times New Roman" w:cs="Times New Roman"/>
                <w:b/>
                <w:sz w:val="18"/>
                <w:szCs w:val="18"/>
              </w:rPr>
              <w:t>termo de compromisso</w:t>
            </w:r>
            <w:r w:rsidRPr="00CB42EE">
              <w:rPr>
                <w:rFonts w:ascii="Times New Roman" w:hAnsi="Times New Roman" w:cs="Times New Roman"/>
                <w:sz w:val="18"/>
                <w:szCs w:val="18"/>
              </w:rPr>
              <w:t xml:space="preserve"> por meio do qual o convenente será obrigado a manter os documentos relacionados ao instrumento, pelo prazo de 10 (dez) anos, contados da data em que foi apresentada a prestação de contas ou do decurso do prazo para a apresentação da prestação de contas nos termos do § 3º do art. 4º e </w:t>
            </w:r>
            <w:r w:rsidR="005A5D8F">
              <w:rPr>
                <w:rFonts w:ascii="Times New Roman" w:hAnsi="Times New Roman" w:cs="Times New Roman"/>
                <w:sz w:val="18"/>
                <w:szCs w:val="18"/>
              </w:rPr>
              <w:t>a</w:t>
            </w:r>
            <w:r w:rsidRPr="00CB42EE">
              <w:rPr>
                <w:rFonts w:ascii="Times New Roman" w:hAnsi="Times New Roman" w:cs="Times New Roman"/>
                <w:sz w:val="18"/>
                <w:szCs w:val="18"/>
              </w:rPr>
              <w:t>rt. 62, inc. IV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Foi realizada a conformidade financeira durante o período de vigência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Houve irregularidades ou impropriedades não sandas? Se sim, consta no Parecer Final da Análise da Prestação de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62, § 3º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Consta na análise da Prestação de contas, além do ateste da conclusão da execução física do objeto, conterá os apontamentos relativos à execução financeira não sanada no período de vigência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Foi anexado aos autos </w:t>
            </w:r>
            <w:r w:rsidRPr="00CB42EE">
              <w:rPr>
                <w:rFonts w:ascii="Times New Roman" w:eastAsia="Arial" w:hAnsi="Times New Roman" w:cs="Times New Roman"/>
                <w:b/>
                <w:sz w:val="18"/>
                <w:szCs w:val="18"/>
              </w:rPr>
              <w:t>demonstrativo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específico, </w:t>
            </w:r>
            <w:r w:rsidRPr="00CB42EE">
              <w:rPr>
                <w:rFonts w:ascii="Times New Roman" w:eastAsia="Arial" w:hAnsi="Times New Roman" w:cs="Times New Roman"/>
                <w:sz w:val="18"/>
                <w:szCs w:val="18"/>
              </w:rPr>
              <w:t>evidenciando as receitas</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financeiras auferidas na forma de </w:t>
            </w:r>
            <w:r w:rsidRPr="00CB42EE">
              <w:rPr>
                <w:rFonts w:ascii="Times New Roman" w:eastAsia="Arial" w:hAnsi="Times New Roman" w:cs="Times New Roman"/>
                <w:b/>
                <w:sz w:val="18"/>
                <w:szCs w:val="18"/>
              </w:rPr>
              <w:t xml:space="preserve">poupança </w:t>
            </w:r>
            <w:r w:rsidRPr="00CB42EE">
              <w:rPr>
                <w:rFonts w:ascii="Times New Roman" w:eastAsia="Arial" w:hAnsi="Times New Roman" w:cs="Times New Roman"/>
                <w:sz w:val="18"/>
                <w:szCs w:val="18"/>
              </w:rPr>
              <w:t>ou em</w:t>
            </w:r>
            <w:r w:rsidRPr="00CB42EE">
              <w:rPr>
                <w:rFonts w:ascii="Times New Roman" w:eastAsia="Arial" w:hAnsi="Times New Roman" w:cs="Times New Roman"/>
                <w:b/>
                <w:sz w:val="18"/>
                <w:szCs w:val="18"/>
              </w:rPr>
              <w:t xml:space="preserve"> fundo de aplicação </w:t>
            </w:r>
            <w:r w:rsidRPr="00CB42EE">
              <w:rPr>
                <w:rFonts w:ascii="Times New Roman" w:eastAsia="Arial" w:hAnsi="Times New Roman" w:cs="Times New Roman"/>
                <w:sz w:val="18"/>
                <w:szCs w:val="18"/>
              </w:rPr>
              <w:t xml:space="preserve">financeira de curto prazo ou em </w:t>
            </w:r>
            <w:r w:rsidRPr="00CB42EE">
              <w:rPr>
                <w:rFonts w:ascii="Times New Roman" w:eastAsia="Arial" w:hAnsi="Times New Roman" w:cs="Times New Roman"/>
                <w:b/>
                <w:sz w:val="18"/>
                <w:szCs w:val="18"/>
              </w:rPr>
              <w:t>operação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de mercado aberto, </w:t>
            </w:r>
            <w:r w:rsidRPr="00CB42EE">
              <w:rPr>
                <w:rFonts w:ascii="Times New Roman" w:eastAsia="Arial" w:hAnsi="Times New Roman" w:cs="Times New Roman"/>
                <w:sz w:val="18"/>
                <w:szCs w:val="18"/>
              </w:rPr>
              <w:t>dos recursos não</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imediatamente utilizados, em observância aos §§4º e 5º do art. 116, da LLCA?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sz w:val="18"/>
                <w:szCs w:val="18"/>
              </w:rPr>
            </w:pPr>
            <w:r w:rsidRPr="00CB42EE">
              <w:rPr>
                <w:rFonts w:ascii="Times New Roman" w:eastAsia="Arial" w:hAnsi="Times New Roman" w:cs="Times New Roman"/>
                <w:sz w:val="18"/>
                <w:szCs w:val="18"/>
              </w:rPr>
              <w:t xml:space="preserve">Consta </w:t>
            </w:r>
            <w:r w:rsidRPr="00CB42EE">
              <w:rPr>
                <w:rFonts w:ascii="Times New Roman" w:eastAsia="Arial" w:hAnsi="Times New Roman" w:cs="Times New Roman"/>
                <w:b/>
                <w:sz w:val="18"/>
                <w:szCs w:val="18"/>
              </w:rPr>
              <w:t>demonstrativo</w:t>
            </w:r>
            <w:r w:rsidRPr="00CB42EE">
              <w:rPr>
                <w:rFonts w:ascii="Times New Roman" w:eastAsia="Arial" w:hAnsi="Times New Roman" w:cs="Times New Roman"/>
                <w:sz w:val="18"/>
                <w:szCs w:val="18"/>
              </w:rPr>
              <w:t xml:space="preserve"> ou </w:t>
            </w:r>
            <w:r w:rsidRPr="00CB42EE">
              <w:rPr>
                <w:rFonts w:ascii="Times New Roman" w:eastAsia="Arial" w:hAnsi="Times New Roman" w:cs="Times New Roman"/>
                <w:b/>
                <w:sz w:val="18"/>
                <w:szCs w:val="18"/>
              </w:rPr>
              <w:t xml:space="preserve">documento </w:t>
            </w:r>
            <w:r w:rsidRPr="00CB42EE">
              <w:rPr>
                <w:rFonts w:ascii="Times New Roman" w:eastAsia="Arial" w:hAnsi="Times New Roman" w:cs="Times New Roman"/>
                <w:sz w:val="18"/>
                <w:szCs w:val="18"/>
              </w:rPr>
              <w:t>integrado à prestação de</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contas que comprove que o valor recebido, tal qual o </w:t>
            </w:r>
            <w:r w:rsidRPr="00CB42EE">
              <w:rPr>
                <w:rFonts w:ascii="Times New Roman" w:eastAsia="Arial" w:hAnsi="Times New Roman" w:cs="Times New Roman"/>
                <w:b/>
                <w:sz w:val="18"/>
                <w:szCs w:val="18"/>
              </w:rPr>
              <w:t>item acima</w:t>
            </w:r>
            <w:r w:rsidRPr="00CB42EE">
              <w:rPr>
                <w:rFonts w:ascii="Times New Roman" w:eastAsia="Arial" w:hAnsi="Times New Roman" w:cs="Times New Roman"/>
                <w:sz w:val="18"/>
                <w:szCs w:val="18"/>
              </w:rPr>
              <w:t>, fora computado a crédito</w:t>
            </w:r>
            <w:r w:rsidRPr="00CB42EE">
              <w:rPr>
                <w:rFonts w:ascii="Times New Roman" w:eastAsia="Arial" w:hAnsi="Times New Roman" w:cs="Times New Roman"/>
                <w:b/>
                <w:sz w:val="18"/>
                <w:szCs w:val="18"/>
              </w:rPr>
              <w:t xml:space="preserve"> do convênio </w:t>
            </w:r>
            <w:r w:rsidRPr="00CB42EE">
              <w:rPr>
                <w:rFonts w:ascii="Times New Roman" w:eastAsia="Arial" w:hAnsi="Times New Roman" w:cs="Times New Roman"/>
                <w:sz w:val="18"/>
                <w:szCs w:val="18"/>
              </w:rPr>
              <w:t>e aplicado de forma</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exclusiva no </w:t>
            </w:r>
            <w:r w:rsidRPr="00CB42EE">
              <w:rPr>
                <w:rFonts w:ascii="Times New Roman" w:eastAsia="Arial" w:hAnsi="Times New Roman" w:cs="Times New Roman"/>
                <w:b/>
                <w:sz w:val="18"/>
                <w:szCs w:val="18"/>
              </w:rPr>
              <w:t>objeto do convênio</w:t>
            </w:r>
            <w:r w:rsidRPr="00CB42EE">
              <w:rPr>
                <w:rFonts w:ascii="Times New Roman" w:eastAsia="Arial" w:hAnsi="Times New Roman" w:cs="Times New Roman"/>
                <w:sz w:val="18"/>
                <w:szCs w:val="18"/>
              </w:rPr>
              <w:t xml:space="preserve">, </w:t>
            </w:r>
            <w:r w:rsidR="00CB42EE" w:rsidRPr="00CB42EE">
              <w:rPr>
                <w:rFonts w:ascii="Times New Roman" w:eastAsia="Arial" w:hAnsi="Times New Roman" w:cs="Times New Roman"/>
                <w:sz w:val="18"/>
                <w:szCs w:val="18"/>
              </w:rPr>
              <w:t>obedecendo a</w:t>
            </w:r>
            <w:r w:rsidRPr="00CB42EE">
              <w:rPr>
                <w:rFonts w:ascii="Times New Roman" w:eastAsia="Arial" w:hAnsi="Times New Roman" w:cs="Times New Roman"/>
                <w:sz w:val="18"/>
                <w:szCs w:val="18"/>
              </w:rPr>
              <w:t xml:space="preserve"> sua finalidade?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tabs>
                <w:tab w:val="left" w:pos="0"/>
              </w:tabs>
              <w:spacing w:line="276" w:lineRule="auto"/>
              <w:ind w:left="426" w:right="73" w:hanging="284"/>
              <w:jc w:val="both"/>
              <w:rPr>
                <w:rFonts w:ascii="Times New Roman" w:hAnsi="Times New Roman" w:cs="Times New Roman"/>
                <w:sz w:val="18"/>
                <w:szCs w:val="18"/>
              </w:rPr>
            </w:pPr>
            <w:r w:rsidRPr="00CB42EE">
              <w:rPr>
                <w:rFonts w:ascii="Times New Roman" w:eastAsia="Arial" w:hAnsi="Times New Roman" w:cs="Times New Roman"/>
                <w:sz w:val="18"/>
                <w:szCs w:val="18"/>
              </w:rPr>
              <w:t xml:space="preserve">Consta o </w:t>
            </w:r>
            <w:r w:rsidRPr="00CB42EE">
              <w:rPr>
                <w:rFonts w:ascii="Times New Roman" w:eastAsia="Arial" w:hAnsi="Times New Roman" w:cs="Times New Roman"/>
                <w:b/>
                <w:sz w:val="18"/>
                <w:szCs w:val="18"/>
              </w:rPr>
              <w:t>extrato da conta bancária</w:t>
            </w:r>
            <w:r w:rsidRPr="00CB42EE">
              <w:rPr>
                <w:rFonts w:ascii="Times New Roman" w:eastAsia="Arial" w:hAnsi="Times New Roman" w:cs="Times New Roman"/>
                <w:sz w:val="18"/>
                <w:szCs w:val="18"/>
              </w:rPr>
              <w:t xml:space="preserve"> específica do período do </w:t>
            </w:r>
            <w:r w:rsidRPr="00CB42EE">
              <w:rPr>
                <w:rFonts w:ascii="Times New Roman" w:eastAsia="Arial" w:hAnsi="Times New Roman" w:cs="Times New Roman"/>
                <w:b/>
                <w:sz w:val="18"/>
                <w:szCs w:val="18"/>
              </w:rPr>
              <w:t>recebimento</w:t>
            </w:r>
            <w:r w:rsidRPr="00CB42EE">
              <w:rPr>
                <w:rFonts w:ascii="Times New Roman" w:eastAsia="Arial" w:hAnsi="Times New Roman" w:cs="Times New Roman"/>
                <w:sz w:val="18"/>
                <w:szCs w:val="18"/>
              </w:rPr>
              <w:t xml:space="preserve"> dos recursos até o </w:t>
            </w:r>
            <w:r w:rsidRPr="00CB42EE">
              <w:rPr>
                <w:rFonts w:ascii="Times New Roman" w:eastAsia="Arial" w:hAnsi="Times New Roman" w:cs="Times New Roman"/>
                <w:b/>
                <w:sz w:val="18"/>
                <w:szCs w:val="18"/>
              </w:rPr>
              <w:t>último pagamento</w:t>
            </w:r>
            <w:r w:rsidRPr="00CB42EE">
              <w:rPr>
                <w:rFonts w:ascii="Times New Roman" w:eastAsia="Arial" w:hAnsi="Times New Roman" w:cs="Times New Roman"/>
                <w:sz w:val="18"/>
                <w:szCs w:val="18"/>
              </w:rPr>
              <w:t xml:space="preserve"> efetuado?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sz w:val="18"/>
                <w:szCs w:val="18"/>
              </w:rPr>
            </w:pPr>
            <w:r w:rsidRPr="00CB42EE">
              <w:rPr>
                <w:rFonts w:ascii="Times New Roman" w:hAnsi="Times New Roman" w:cs="Times New Roman"/>
                <w:sz w:val="18"/>
                <w:szCs w:val="18"/>
              </w:rPr>
              <w:t xml:space="preserve">Fora dada </w:t>
            </w:r>
            <w:r w:rsidRPr="00CB42EE">
              <w:rPr>
                <w:rFonts w:ascii="Times New Roman" w:hAnsi="Times New Roman" w:cs="Times New Roman"/>
                <w:b/>
                <w:sz w:val="18"/>
                <w:szCs w:val="18"/>
              </w:rPr>
              <w:t>publicidade</w:t>
            </w:r>
            <w:r w:rsidRPr="00CB42EE">
              <w:rPr>
                <w:rFonts w:ascii="Times New Roman" w:hAnsi="Times New Roman" w:cs="Times New Roman"/>
                <w:sz w:val="18"/>
                <w:szCs w:val="18"/>
              </w:rPr>
              <w:t xml:space="preserve"> a todos os atos necessários à </w:t>
            </w:r>
            <w:r w:rsidRPr="00CB42EE">
              <w:rPr>
                <w:rFonts w:ascii="Times New Roman" w:hAnsi="Times New Roman" w:cs="Times New Roman"/>
                <w:b/>
                <w:sz w:val="18"/>
                <w:szCs w:val="18"/>
              </w:rPr>
              <w:t>transparência</w:t>
            </w:r>
            <w:r w:rsidRPr="00CB42EE">
              <w:rPr>
                <w:rFonts w:ascii="Times New Roman" w:hAnsi="Times New Roman" w:cs="Times New Roman"/>
                <w:sz w:val="18"/>
                <w:szCs w:val="18"/>
              </w:rPr>
              <w:t xml:space="preserve">? </w:t>
            </w:r>
          </w:p>
          <w:p w:rsidR="000C563C" w:rsidRPr="005A5D8F" w:rsidRDefault="00037CB4" w:rsidP="00363818">
            <w:pPr>
              <w:pStyle w:val="PargrafodaLista"/>
              <w:spacing w:line="276" w:lineRule="auto"/>
              <w:ind w:left="426" w:right="73"/>
              <w:jc w:val="both"/>
              <w:rPr>
                <w:rFonts w:ascii="Times New Roman" w:hAnsi="Times New Roman" w:cs="Times New Roman"/>
                <w:sz w:val="16"/>
                <w:szCs w:val="16"/>
              </w:rPr>
            </w:pPr>
            <w:r w:rsidRPr="005A5D8F">
              <w:rPr>
                <w:rFonts w:ascii="Times New Roman" w:hAnsi="Times New Roman" w:cs="Times New Roman"/>
                <w:i/>
                <w:sz w:val="16"/>
                <w:szCs w:val="16"/>
              </w:rPr>
              <w:t>(juntar aos autos cópia do sítio, identificando o acesso às informações referentes ao convênio)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No </w:t>
            </w:r>
            <w:r w:rsidRPr="00CB42EE">
              <w:rPr>
                <w:rFonts w:ascii="Times New Roman" w:eastAsia="Arial" w:hAnsi="Times New Roman" w:cs="Times New Roman"/>
                <w:b/>
                <w:sz w:val="18"/>
                <w:szCs w:val="18"/>
              </w:rPr>
              <w:t>acompanhamento e fiscalização</w:t>
            </w:r>
            <w:r w:rsidRPr="00CB42EE">
              <w:rPr>
                <w:rFonts w:ascii="Times New Roman" w:eastAsia="Arial" w:hAnsi="Times New Roman" w:cs="Times New Roman"/>
                <w:sz w:val="18"/>
                <w:szCs w:val="18"/>
              </w:rPr>
              <w:t xml:space="preserve"> do objeto, foi verificado o </w:t>
            </w:r>
            <w:r w:rsidRPr="00CB42EE">
              <w:rPr>
                <w:rFonts w:ascii="Times New Roman" w:eastAsia="Arial" w:hAnsi="Times New Roman" w:cs="Times New Roman"/>
                <w:b/>
                <w:sz w:val="18"/>
                <w:szCs w:val="18"/>
              </w:rPr>
              <w:t>cumprimento</w:t>
            </w:r>
            <w:r w:rsidRPr="00CB42EE">
              <w:rPr>
                <w:rFonts w:ascii="Times New Roman" w:eastAsia="Arial" w:hAnsi="Times New Roman" w:cs="Times New Roman"/>
                <w:sz w:val="18"/>
                <w:szCs w:val="18"/>
              </w:rPr>
              <w:t xml:space="preserve"> das </w:t>
            </w:r>
            <w:r w:rsidRPr="00CB42EE">
              <w:rPr>
                <w:rFonts w:ascii="Times New Roman" w:eastAsia="Arial" w:hAnsi="Times New Roman" w:cs="Times New Roman"/>
                <w:b/>
                <w:sz w:val="18"/>
                <w:szCs w:val="18"/>
              </w:rPr>
              <w:t>metas do Plano de Trabalho</w:t>
            </w:r>
            <w:r w:rsidRPr="00CB42EE">
              <w:rPr>
                <w:rFonts w:ascii="Times New Roman" w:eastAsia="Arial" w:hAnsi="Times New Roman" w:cs="Times New Roman"/>
                <w:sz w:val="18"/>
                <w:szCs w:val="18"/>
              </w:rPr>
              <w:t>? (art. 56, inc. IV da PI nº 424/2016 c/c art. 116, §1º, V, da LLCA)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bl>
    <w:p w:rsidR="000C563C" w:rsidRPr="00CB42EE" w:rsidRDefault="00037CB4">
      <w:pPr>
        <w:spacing w:line="360" w:lineRule="auto"/>
        <w:ind w:right="-1"/>
        <w:rPr>
          <w:rFonts w:ascii="Times New Roman" w:hAnsi="Times New Roman" w:cs="Times New Roman"/>
          <w:b/>
          <w:sz w:val="18"/>
          <w:szCs w:val="18"/>
        </w:rPr>
      </w:pPr>
      <w:r w:rsidRPr="00CB42EE">
        <w:rPr>
          <w:rFonts w:ascii="Times New Roman" w:hAnsi="Times New Roman" w:cs="Times New Roman"/>
          <w:b/>
          <w:sz w:val="18"/>
          <w:szCs w:val="18"/>
        </w:rPr>
        <w:t>Apontamentos:</w:t>
      </w:r>
    </w:p>
    <w:tbl>
      <w:tblPr>
        <w:tblStyle w:val="Tabelacomgrade"/>
        <w:tblW w:w="5000" w:type="pct"/>
        <w:tblLook w:val="04A0" w:firstRow="1" w:lastRow="0" w:firstColumn="1" w:lastColumn="0" w:noHBand="0" w:noVBand="1"/>
      </w:tblPr>
      <w:tblGrid>
        <w:gridCol w:w="9287"/>
      </w:tblGrid>
      <w:tr w:rsidR="000C563C" w:rsidRPr="00CB42EE" w:rsidTr="00363818">
        <w:tc>
          <w:tcPr>
            <w:tcW w:w="9287" w:type="dxa"/>
            <w:shd w:val="clear" w:color="auto" w:fill="auto"/>
          </w:tcPr>
          <w:p w:rsidR="000C563C" w:rsidRPr="00CB42EE" w:rsidRDefault="000C563C">
            <w:pPr>
              <w:spacing w:line="360" w:lineRule="auto"/>
              <w:ind w:right="-1"/>
              <w:rPr>
                <w:rFonts w:ascii="Times New Roman" w:hAnsi="Times New Roman" w:cs="Times New Roman"/>
                <w:b/>
                <w:sz w:val="18"/>
                <w:szCs w:val="18"/>
              </w:rPr>
            </w:pPr>
          </w:p>
        </w:tc>
      </w:tr>
      <w:tr w:rsidR="000C563C" w:rsidRPr="00CB42EE" w:rsidTr="00363818">
        <w:tc>
          <w:tcPr>
            <w:tcW w:w="9287" w:type="dxa"/>
            <w:tcBorders>
              <w:top w:val="nil"/>
            </w:tcBorders>
            <w:shd w:val="clear" w:color="auto" w:fill="auto"/>
          </w:tcPr>
          <w:p w:rsidR="000C563C" w:rsidRPr="00CB42EE" w:rsidRDefault="000C563C">
            <w:pPr>
              <w:spacing w:line="360" w:lineRule="auto"/>
              <w:ind w:right="-1"/>
              <w:rPr>
                <w:rFonts w:ascii="Times New Roman" w:hAnsi="Times New Roman" w:cs="Times New Roman"/>
                <w:b/>
                <w:sz w:val="18"/>
                <w:szCs w:val="18"/>
              </w:rPr>
            </w:pPr>
          </w:p>
        </w:tc>
      </w:tr>
      <w:tr w:rsidR="000C563C" w:rsidRPr="00CB42EE" w:rsidTr="00363818">
        <w:tc>
          <w:tcPr>
            <w:tcW w:w="9287" w:type="dxa"/>
            <w:tcBorders>
              <w:top w:val="nil"/>
            </w:tcBorders>
            <w:shd w:val="clear" w:color="auto" w:fill="auto"/>
          </w:tcPr>
          <w:p w:rsidR="000C563C" w:rsidRPr="00CB42EE" w:rsidRDefault="000C563C">
            <w:pPr>
              <w:spacing w:line="360" w:lineRule="auto"/>
              <w:ind w:right="-1"/>
              <w:rPr>
                <w:rFonts w:ascii="Times New Roman" w:hAnsi="Times New Roman" w:cs="Times New Roman"/>
                <w:b/>
                <w:sz w:val="18"/>
                <w:szCs w:val="18"/>
              </w:rPr>
            </w:pPr>
          </w:p>
        </w:tc>
      </w:tr>
    </w:tbl>
    <w:p w:rsidR="000C563C" w:rsidRPr="00CB42EE" w:rsidRDefault="000C563C">
      <w:pPr>
        <w:spacing w:line="360" w:lineRule="auto"/>
        <w:rPr>
          <w:rFonts w:ascii="Times New Roman" w:hAnsi="Times New Roman" w:cs="Times New Roman"/>
          <w:b/>
          <w:sz w:val="18"/>
          <w:szCs w:val="18"/>
        </w:rPr>
      </w:pPr>
    </w:p>
    <w:p w:rsidR="000C563C" w:rsidRPr="00CB42EE" w:rsidRDefault="00363818" w:rsidP="00363818">
      <w:pPr>
        <w:spacing w:line="360" w:lineRule="auto"/>
        <w:ind w:right="-1"/>
        <w:jc w:val="center"/>
        <w:rPr>
          <w:rFonts w:ascii="Times New Roman" w:hAnsi="Times New Roman" w:cs="Times New Roman"/>
          <w:sz w:val="18"/>
          <w:szCs w:val="18"/>
        </w:rPr>
      </w:pPr>
      <w:r w:rsidRPr="00CB42EE">
        <w:rPr>
          <w:rFonts w:ascii="Times New Roman" w:hAnsi="Times New Roman" w:cs="Times New Roman"/>
          <w:b/>
          <w:sz w:val="18"/>
          <w:szCs w:val="18"/>
        </w:rPr>
        <w:t>Assinatura e Matrícula do Servidor</w:t>
      </w:r>
    </w:p>
    <w:sectPr w:rsidR="000C563C" w:rsidRPr="00CB42EE" w:rsidSect="00CB42EE">
      <w:headerReference w:type="default" r:id="rId9"/>
      <w:pgSz w:w="11906" w:h="16838"/>
      <w:pgMar w:top="1701" w:right="1134" w:bottom="1134" w:left="1701" w:header="375"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83" w:rsidRDefault="007A6B83">
      <w:r>
        <w:separator/>
      </w:r>
    </w:p>
  </w:endnote>
  <w:endnote w:type="continuationSeparator" w:id="0">
    <w:p w:rsidR="007A6B83" w:rsidRDefault="007A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83" w:rsidRDefault="007A6B83">
      <w:r>
        <w:separator/>
      </w:r>
    </w:p>
  </w:footnote>
  <w:footnote w:type="continuationSeparator" w:id="0">
    <w:p w:rsidR="007A6B83" w:rsidRDefault="007A6B83">
      <w:r>
        <w:continuationSeparator/>
      </w:r>
    </w:p>
  </w:footnote>
  <w:footnote w:id="1">
    <w:p w:rsidR="00D50CBD" w:rsidRPr="00D50CBD" w:rsidRDefault="00D50CBD">
      <w:pPr>
        <w:pStyle w:val="Textodenotaderodap"/>
        <w:rPr>
          <w:rFonts w:ascii="Times New Roman" w:hAnsi="Times New Roman" w:cs="Times New Roman"/>
          <w:sz w:val="16"/>
          <w:szCs w:val="16"/>
        </w:rPr>
      </w:pPr>
      <w:r w:rsidRPr="00D50CBD">
        <w:rPr>
          <w:rStyle w:val="Refdenotaderodap"/>
          <w:rFonts w:ascii="Times New Roman" w:hAnsi="Times New Roman" w:cs="Times New Roman"/>
          <w:sz w:val="16"/>
          <w:szCs w:val="16"/>
        </w:rPr>
        <w:footnoteRef/>
      </w:r>
      <w:r w:rsidRPr="00D50CBD">
        <w:rPr>
          <w:rFonts w:ascii="Times New Roman" w:hAnsi="Times New Roman" w:cs="Times New Roman"/>
          <w:sz w:val="16"/>
          <w:szCs w:val="16"/>
        </w:rPr>
        <w:t xml:space="preserve"> </w:t>
      </w:r>
      <w:hyperlink r:id="rId1" w:history="1">
        <w:r w:rsidRPr="00D50CBD">
          <w:rPr>
            <w:rStyle w:val="Hyperlink"/>
            <w:rFonts w:ascii="Times New Roman" w:hAnsi="Times New Roman" w:cs="Times New Roman"/>
            <w:sz w:val="16"/>
            <w:szCs w:val="16"/>
          </w:rPr>
          <w:t>http://plataformamaisbrasil.gov.br/images/docs/CGCAT/manuais/Convenio_Contrato_de_Repasse_Termo_de_parceria_operados_por_OBTV.pdf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8" w:type="dxa"/>
      <w:tblInd w:w="-175" w:type="dxa"/>
      <w:tblLook w:val="04A0" w:firstRow="1" w:lastRow="0" w:firstColumn="1" w:lastColumn="0" w:noHBand="0" w:noVBand="1"/>
    </w:tblPr>
    <w:tblGrid>
      <w:gridCol w:w="5814"/>
      <w:gridCol w:w="4284"/>
    </w:tblGrid>
    <w:tr w:rsidR="00105037" w:rsidTr="00105037">
      <w:trPr>
        <w:trHeight w:val="859"/>
      </w:trPr>
      <w:tc>
        <w:tcPr>
          <w:tcW w:w="5813" w:type="dxa"/>
          <w:hideMark/>
        </w:tcPr>
        <w:p w:rsidR="00105037" w:rsidRDefault="00105037">
          <w:pPr>
            <w:tabs>
              <w:tab w:val="center" w:pos="4252"/>
              <w:tab w:val="right" w:pos="8504"/>
            </w:tabs>
            <w:rPr>
              <w:rFonts w:cs="Times New Roman"/>
              <w:sz w:val="22"/>
              <w:szCs w:val="22"/>
              <w:lang w:eastAsia="en-US"/>
            </w:rPr>
          </w:pPr>
          <w:r>
            <w:rPr>
              <w:rFonts w:cs="DejaVu Sans"/>
              <w:noProof/>
              <w:sz w:val="22"/>
            </w:rPr>
            <w:drawing>
              <wp:anchor distT="0" distB="0" distL="114300" distR="114300" simplePos="0" relativeHeight="251659264" behindDoc="1" locked="0" layoutInCell="1" allowOverlap="1">
                <wp:simplePos x="0" y="0"/>
                <wp:positionH relativeFrom="margin">
                  <wp:posOffset>145415</wp:posOffset>
                </wp:positionH>
                <wp:positionV relativeFrom="margin">
                  <wp:posOffset>26670</wp:posOffset>
                </wp:positionV>
                <wp:extent cx="3144520" cy="5334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520" cy="533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84" w:type="dxa"/>
          <w:hideMark/>
        </w:tcPr>
        <w:p w:rsidR="00105037" w:rsidRDefault="00105037">
          <w:pPr>
            <w:tabs>
              <w:tab w:val="center" w:pos="4252"/>
              <w:tab w:val="right" w:pos="8504"/>
            </w:tabs>
            <w:ind w:left="373" w:hanging="339"/>
            <w:rPr>
              <w:rFonts w:eastAsia="Times New Roman" w:cs="Calibri"/>
              <w:bCs/>
              <w:sz w:val="18"/>
              <w:szCs w:val="18"/>
            </w:rPr>
          </w:pPr>
          <w:r>
            <w:rPr>
              <w:rFonts w:eastAsia="Times New Roman" w:cs="Calibri"/>
              <w:bCs/>
              <w:sz w:val="18"/>
              <w:szCs w:val="18"/>
            </w:rPr>
            <w:t xml:space="preserve">Praça dos Girassóis, Esplanada das </w:t>
          </w:r>
          <w:proofErr w:type="gramStart"/>
          <w:r>
            <w:rPr>
              <w:rFonts w:eastAsia="Times New Roman" w:cs="Calibri"/>
              <w:bCs/>
              <w:sz w:val="18"/>
              <w:szCs w:val="18"/>
            </w:rPr>
            <w:t>Secretarias</w:t>
          </w:r>
          <w:proofErr w:type="gramEnd"/>
        </w:p>
        <w:p w:rsidR="00105037" w:rsidRDefault="00105037">
          <w:pPr>
            <w:tabs>
              <w:tab w:val="center" w:pos="4252"/>
              <w:tab w:val="right" w:pos="8504"/>
            </w:tabs>
            <w:ind w:left="373" w:hanging="339"/>
            <w:rPr>
              <w:rFonts w:eastAsia="Calibri" w:cs="Calibri"/>
              <w:sz w:val="18"/>
              <w:szCs w:val="18"/>
            </w:rPr>
          </w:pPr>
          <w:r>
            <w:rPr>
              <w:rFonts w:eastAsia="Times New Roman" w:cs="Calibri"/>
              <w:bCs/>
              <w:sz w:val="18"/>
              <w:szCs w:val="18"/>
            </w:rPr>
            <w:t xml:space="preserve">Av. NS-2, Prédio I, S/N, Plano Diretor </w:t>
          </w:r>
          <w:proofErr w:type="gramStart"/>
          <w:r>
            <w:rPr>
              <w:rFonts w:eastAsia="Times New Roman" w:cs="Calibri"/>
              <w:bCs/>
              <w:sz w:val="18"/>
              <w:szCs w:val="18"/>
            </w:rPr>
            <w:t>Norte</w:t>
          </w:r>
          <w:proofErr w:type="gramEnd"/>
          <w:r>
            <w:rPr>
              <w:rFonts w:cs="Calibri"/>
              <w:sz w:val="18"/>
              <w:szCs w:val="18"/>
            </w:rPr>
            <w:t xml:space="preserve"> </w:t>
          </w:r>
        </w:p>
        <w:p w:rsidR="00105037" w:rsidRDefault="00105037">
          <w:pPr>
            <w:tabs>
              <w:tab w:val="center" w:pos="4252"/>
              <w:tab w:val="right" w:pos="8504"/>
            </w:tabs>
            <w:ind w:left="373" w:hanging="339"/>
            <w:rPr>
              <w:rFonts w:cs="Calibri"/>
              <w:sz w:val="18"/>
              <w:szCs w:val="18"/>
            </w:rPr>
          </w:pPr>
          <w:r>
            <w:rPr>
              <w:rFonts w:cs="Calibri"/>
              <w:sz w:val="18"/>
              <w:szCs w:val="18"/>
            </w:rPr>
            <w:t>Palmas – Tocantins – CEP: 77.001-002</w:t>
          </w:r>
        </w:p>
        <w:p w:rsidR="00105037" w:rsidRDefault="00105037">
          <w:pPr>
            <w:tabs>
              <w:tab w:val="center" w:pos="4252"/>
              <w:tab w:val="right" w:pos="8504"/>
            </w:tabs>
            <w:ind w:left="373" w:hanging="339"/>
            <w:rPr>
              <w:rFonts w:cs="Calibri"/>
              <w:sz w:val="18"/>
              <w:szCs w:val="18"/>
            </w:rPr>
          </w:pPr>
          <w:proofErr w:type="spellStart"/>
          <w:r>
            <w:rPr>
              <w:rFonts w:cs="Calibri"/>
              <w:sz w:val="18"/>
              <w:szCs w:val="18"/>
            </w:rPr>
            <w:t>Tel</w:t>
          </w:r>
          <w:proofErr w:type="spellEnd"/>
          <w:r>
            <w:rPr>
              <w:rFonts w:cs="Calibri"/>
              <w:sz w:val="18"/>
              <w:szCs w:val="18"/>
            </w:rPr>
            <w:t>: +55 63 3218-2563</w:t>
          </w:r>
        </w:p>
        <w:p w:rsidR="00105037" w:rsidRDefault="00105037">
          <w:pPr>
            <w:tabs>
              <w:tab w:val="center" w:pos="4252"/>
              <w:tab w:val="right" w:pos="8504"/>
            </w:tabs>
            <w:ind w:left="373" w:hanging="339"/>
            <w:rPr>
              <w:rFonts w:cs="Times New Roman"/>
              <w:sz w:val="22"/>
              <w:szCs w:val="22"/>
            </w:rPr>
          </w:pPr>
          <w:hyperlink r:id="rId2" w:history="1">
            <w:r>
              <w:rPr>
                <w:rStyle w:val="Hyperlink"/>
                <w:rFonts w:cs="Calibri"/>
                <w:sz w:val="18"/>
                <w:szCs w:val="18"/>
              </w:rPr>
              <w:t>gabexecutivo@controladoria.to.gov.br</w:t>
            </w:r>
          </w:hyperlink>
          <w:r>
            <w:rPr>
              <w:rFonts w:cs="Calibri"/>
              <w:sz w:val="18"/>
              <w:szCs w:val="18"/>
            </w:rPr>
            <w:t xml:space="preserve"> </w:t>
          </w:r>
        </w:p>
        <w:p w:rsidR="00105037" w:rsidRDefault="00105037">
          <w:pPr>
            <w:tabs>
              <w:tab w:val="center" w:pos="4252"/>
              <w:tab w:val="right" w:pos="8504"/>
            </w:tabs>
            <w:ind w:left="373" w:hanging="339"/>
            <w:rPr>
              <w:rFonts w:cs="Times New Roman"/>
              <w:sz w:val="22"/>
              <w:szCs w:val="22"/>
              <w:lang w:eastAsia="en-US"/>
            </w:rPr>
          </w:pPr>
          <w:hyperlink r:id="rId3" w:history="1">
            <w:r>
              <w:rPr>
                <w:rStyle w:val="Hyperlink"/>
                <w:rFonts w:cs="Calibri"/>
                <w:sz w:val="18"/>
                <w:szCs w:val="18"/>
              </w:rPr>
              <w:t>www.to.gov.br/cge</w:t>
            </w:r>
          </w:hyperlink>
        </w:p>
      </w:tc>
    </w:tr>
  </w:tbl>
  <w:p w:rsidR="000C563C" w:rsidRDefault="000C56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264"/>
    <w:multiLevelType w:val="multilevel"/>
    <w:tmpl w:val="1480C4CE"/>
    <w:lvl w:ilvl="0">
      <w:start w:val="1"/>
      <w:numFmt w:val="lowerLetter"/>
      <w:lvlText w:val="%1)"/>
      <w:lvlJc w:val="left"/>
      <w:pPr>
        <w:ind w:left="290" w:hanging="360"/>
      </w:pPr>
      <w:rPr>
        <w:rFonts w:ascii="Arial" w:hAnsi="Arial"/>
        <w:b/>
        <w:strike w:val="0"/>
        <w:dstrike w:val="0"/>
        <w:color w:val="auto"/>
      </w:rPr>
    </w:lvl>
    <w:lvl w:ilvl="1">
      <w:start w:val="1"/>
      <w:numFmt w:val="lowerLetter"/>
      <w:lvlText w:val="%2."/>
      <w:lvlJc w:val="left"/>
      <w:pPr>
        <w:ind w:left="1010" w:hanging="360"/>
      </w:pPr>
    </w:lvl>
    <w:lvl w:ilvl="2">
      <w:start w:val="1"/>
      <w:numFmt w:val="lowerRoman"/>
      <w:lvlText w:val="%3."/>
      <w:lvlJc w:val="right"/>
      <w:pPr>
        <w:ind w:left="1730" w:hanging="180"/>
      </w:pPr>
    </w:lvl>
    <w:lvl w:ilvl="3">
      <w:start w:val="1"/>
      <w:numFmt w:val="decimal"/>
      <w:lvlText w:val="%4."/>
      <w:lvlJc w:val="left"/>
      <w:pPr>
        <w:ind w:left="2450" w:hanging="360"/>
      </w:pPr>
    </w:lvl>
    <w:lvl w:ilvl="4">
      <w:start w:val="1"/>
      <w:numFmt w:val="lowerLetter"/>
      <w:lvlText w:val="%5."/>
      <w:lvlJc w:val="left"/>
      <w:pPr>
        <w:ind w:left="3170" w:hanging="360"/>
      </w:pPr>
    </w:lvl>
    <w:lvl w:ilvl="5">
      <w:start w:val="1"/>
      <w:numFmt w:val="lowerRoman"/>
      <w:lvlText w:val="%6."/>
      <w:lvlJc w:val="right"/>
      <w:pPr>
        <w:ind w:left="3890" w:hanging="180"/>
      </w:pPr>
    </w:lvl>
    <w:lvl w:ilvl="6">
      <w:start w:val="1"/>
      <w:numFmt w:val="decimal"/>
      <w:lvlText w:val="%7."/>
      <w:lvlJc w:val="left"/>
      <w:pPr>
        <w:ind w:left="4610" w:hanging="360"/>
      </w:pPr>
    </w:lvl>
    <w:lvl w:ilvl="7">
      <w:start w:val="1"/>
      <w:numFmt w:val="lowerLetter"/>
      <w:lvlText w:val="%8."/>
      <w:lvlJc w:val="left"/>
      <w:pPr>
        <w:ind w:left="5330" w:hanging="360"/>
      </w:pPr>
    </w:lvl>
    <w:lvl w:ilvl="8">
      <w:start w:val="1"/>
      <w:numFmt w:val="lowerRoman"/>
      <w:lvlText w:val="%9."/>
      <w:lvlJc w:val="right"/>
      <w:pPr>
        <w:ind w:left="6050" w:hanging="180"/>
      </w:pPr>
    </w:lvl>
  </w:abstractNum>
  <w:abstractNum w:abstractNumId="1">
    <w:nsid w:val="435670C1"/>
    <w:multiLevelType w:val="multilevel"/>
    <w:tmpl w:val="5A70CF66"/>
    <w:lvl w:ilvl="0">
      <w:start w:val="1"/>
      <w:numFmt w:val="decimal"/>
      <w:lvlText w:val="%1."/>
      <w:lvlJc w:val="left"/>
      <w:pPr>
        <w:ind w:left="862" w:hanging="360"/>
      </w:pPr>
      <w:rPr>
        <w:rFonts w:ascii="Times New Roman" w:hAnsi="Times New Roman" w:cs="Times New Roman" w:hint="default"/>
        <w:b/>
        <w:strike w:val="0"/>
        <w:dstrike w:val="0"/>
        <w:color w:val="auto"/>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4D5D2C4C"/>
    <w:multiLevelType w:val="multilevel"/>
    <w:tmpl w:val="23281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3C"/>
    <w:rsid w:val="00016BEF"/>
    <w:rsid w:val="00037CB4"/>
    <w:rsid w:val="000C563C"/>
    <w:rsid w:val="00105037"/>
    <w:rsid w:val="002341A7"/>
    <w:rsid w:val="002D3BA7"/>
    <w:rsid w:val="00363818"/>
    <w:rsid w:val="003C48F9"/>
    <w:rsid w:val="0055365B"/>
    <w:rsid w:val="005A5D8F"/>
    <w:rsid w:val="006012CD"/>
    <w:rsid w:val="007A6B83"/>
    <w:rsid w:val="00935BBD"/>
    <w:rsid w:val="00CB42EE"/>
    <w:rsid w:val="00D50CBD"/>
    <w:rsid w:val="00EC5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77"/>
    <w:rPr>
      <w:rFonts w:cs="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82177"/>
  </w:style>
  <w:style w:type="character" w:customStyle="1" w:styleId="RodapChar">
    <w:name w:val="Rodapé Char"/>
    <w:basedOn w:val="Fontepargpadro"/>
    <w:link w:val="Rodap"/>
    <w:uiPriority w:val="99"/>
    <w:qFormat/>
    <w:rsid w:val="00682177"/>
  </w:style>
  <w:style w:type="character" w:customStyle="1" w:styleId="LinkdaInternet">
    <w:name w:val="Link da Internet"/>
    <w:basedOn w:val="Fontepargpadro"/>
    <w:uiPriority w:val="99"/>
    <w:unhideWhenUsed/>
    <w:rsid w:val="00DF6D2B"/>
    <w:rPr>
      <w:color w:val="0000FF" w:themeColor="hyperlink"/>
      <w:u w:val="single"/>
    </w:rPr>
  </w:style>
  <w:style w:type="paragraph" w:styleId="Ttulo">
    <w:name w:val="Title"/>
    <w:basedOn w:val="Normal"/>
    <w:next w:val="Corpodetexto"/>
    <w:qFormat/>
    <w:rsid w:val="002D3BA7"/>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2D3BA7"/>
    <w:pPr>
      <w:spacing w:after="140" w:line="276" w:lineRule="auto"/>
    </w:pPr>
  </w:style>
  <w:style w:type="paragraph" w:styleId="Lista">
    <w:name w:val="List"/>
    <w:basedOn w:val="Corpodetexto"/>
    <w:rsid w:val="002D3BA7"/>
    <w:rPr>
      <w:rFonts w:ascii="Times New Roman" w:hAnsi="Times New Roman" w:cs="Lohit Devanagari"/>
    </w:rPr>
  </w:style>
  <w:style w:type="paragraph" w:styleId="Legenda">
    <w:name w:val="caption"/>
    <w:basedOn w:val="Normal"/>
    <w:qFormat/>
    <w:rsid w:val="002D3BA7"/>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2D3BA7"/>
    <w:pPr>
      <w:suppressLineNumbers/>
    </w:pPr>
    <w:rPr>
      <w:rFonts w:ascii="Times New Roman" w:hAnsi="Times New Roman" w:cs="Lohit Devanagari"/>
    </w:rPr>
  </w:style>
  <w:style w:type="paragraph" w:customStyle="1" w:styleId="CabealhoeRodap">
    <w:name w:val="Cabeçalho e Rodapé"/>
    <w:basedOn w:val="Normal"/>
    <w:qFormat/>
    <w:rsid w:val="002D3BA7"/>
  </w:style>
  <w:style w:type="paragraph" w:styleId="Cabealho">
    <w:name w:val="header"/>
    <w:basedOn w:val="Normal"/>
    <w:link w:val="CabealhoChar"/>
    <w:uiPriority w:val="99"/>
    <w:unhideWhenUsed/>
    <w:rsid w:val="00682177"/>
    <w:pPr>
      <w:tabs>
        <w:tab w:val="center" w:pos="4252"/>
        <w:tab w:val="right" w:pos="8504"/>
      </w:tabs>
    </w:pPr>
  </w:style>
  <w:style w:type="paragraph" w:styleId="Rodap">
    <w:name w:val="footer"/>
    <w:basedOn w:val="Normal"/>
    <w:link w:val="RodapChar"/>
    <w:uiPriority w:val="99"/>
    <w:unhideWhenUsed/>
    <w:rsid w:val="00682177"/>
    <w:pPr>
      <w:tabs>
        <w:tab w:val="center" w:pos="4252"/>
        <w:tab w:val="right" w:pos="8504"/>
      </w:tabs>
    </w:pPr>
  </w:style>
  <w:style w:type="paragraph" w:styleId="PargrafodaLista">
    <w:name w:val="List Paragraph"/>
    <w:basedOn w:val="Normal"/>
    <w:uiPriority w:val="34"/>
    <w:qFormat/>
    <w:rsid w:val="00977798"/>
    <w:pPr>
      <w:ind w:left="720"/>
      <w:contextualSpacing/>
    </w:pPr>
  </w:style>
  <w:style w:type="table" w:styleId="Tabelacomgrade">
    <w:name w:val="Table Grid"/>
    <w:basedOn w:val="Tabelanormal"/>
    <w:uiPriority w:val="59"/>
    <w:rsid w:val="0097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C50CC"/>
    <w:rPr>
      <w:rFonts w:ascii="Tahoma" w:hAnsi="Tahoma" w:cs="Tahoma"/>
      <w:sz w:val="16"/>
      <w:szCs w:val="16"/>
    </w:rPr>
  </w:style>
  <w:style w:type="character" w:customStyle="1" w:styleId="TextodebaloChar">
    <w:name w:val="Texto de balão Char"/>
    <w:basedOn w:val="Fontepargpadro"/>
    <w:link w:val="Textodebalo"/>
    <w:uiPriority w:val="99"/>
    <w:semiHidden/>
    <w:rsid w:val="00EC50CC"/>
    <w:rPr>
      <w:rFonts w:ascii="Tahoma" w:hAnsi="Tahoma" w:cs="Tahoma"/>
      <w:sz w:val="16"/>
      <w:szCs w:val="16"/>
      <w:lang w:eastAsia="pt-BR"/>
    </w:rPr>
  </w:style>
  <w:style w:type="paragraph" w:styleId="Textodenotaderodap">
    <w:name w:val="footnote text"/>
    <w:basedOn w:val="Normal"/>
    <w:link w:val="TextodenotaderodapChar"/>
    <w:uiPriority w:val="99"/>
    <w:semiHidden/>
    <w:unhideWhenUsed/>
    <w:rsid w:val="00D50CBD"/>
  </w:style>
  <w:style w:type="character" w:customStyle="1" w:styleId="TextodenotaderodapChar">
    <w:name w:val="Texto de nota de rodapé Char"/>
    <w:basedOn w:val="Fontepargpadro"/>
    <w:link w:val="Textodenotaderodap"/>
    <w:uiPriority w:val="99"/>
    <w:semiHidden/>
    <w:rsid w:val="00D50CBD"/>
    <w:rPr>
      <w:rFonts w:cs="Arial"/>
      <w:szCs w:val="20"/>
      <w:lang w:eastAsia="pt-BR"/>
    </w:rPr>
  </w:style>
  <w:style w:type="character" w:styleId="Refdenotaderodap">
    <w:name w:val="footnote reference"/>
    <w:basedOn w:val="Fontepargpadro"/>
    <w:uiPriority w:val="99"/>
    <w:semiHidden/>
    <w:unhideWhenUsed/>
    <w:rsid w:val="00D50CBD"/>
    <w:rPr>
      <w:vertAlign w:val="superscript"/>
    </w:rPr>
  </w:style>
  <w:style w:type="character" w:styleId="Hyperlink">
    <w:name w:val="Hyperlink"/>
    <w:basedOn w:val="Fontepargpadro"/>
    <w:uiPriority w:val="99"/>
    <w:semiHidden/>
    <w:unhideWhenUsed/>
    <w:rsid w:val="00D50C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77"/>
    <w:rPr>
      <w:rFonts w:cs="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82177"/>
  </w:style>
  <w:style w:type="character" w:customStyle="1" w:styleId="RodapChar">
    <w:name w:val="Rodapé Char"/>
    <w:basedOn w:val="Fontepargpadro"/>
    <w:link w:val="Rodap"/>
    <w:uiPriority w:val="99"/>
    <w:qFormat/>
    <w:rsid w:val="00682177"/>
  </w:style>
  <w:style w:type="character" w:customStyle="1" w:styleId="LinkdaInternet">
    <w:name w:val="Link da Internet"/>
    <w:basedOn w:val="Fontepargpadro"/>
    <w:uiPriority w:val="99"/>
    <w:unhideWhenUsed/>
    <w:rsid w:val="00DF6D2B"/>
    <w:rPr>
      <w:color w:val="0000FF" w:themeColor="hyperlink"/>
      <w:u w:val="single"/>
    </w:rPr>
  </w:style>
  <w:style w:type="paragraph" w:styleId="Ttulo">
    <w:name w:val="Title"/>
    <w:basedOn w:val="Normal"/>
    <w:next w:val="Corpodetexto"/>
    <w:qFormat/>
    <w:rsid w:val="002D3BA7"/>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2D3BA7"/>
    <w:pPr>
      <w:spacing w:after="140" w:line="276" w:lineRule="auto"/>
    </w:pPr>
  </w:style>
  <w:style w:type="paragraph" w:styleId="Lista">
    <w:name w:val="List"/>
    <w:basedOn w:val="Corpodetexto"/>
    <w:rsid w:val="002D3BA7"/>
    <w:rPr>
      <w:rFonts w:ascii="Times New Roman" w:hAnsi="Times New Roman" w:cs="Lohit Devanagari"/>
    </w:rPr>
  </w:style>
  <w:style w:type="paragraph" w:styleId="Legenda">
    <w:name w:val="caption"/>
    <w:basedOn w:val="Normal"/>
    <w:qFormat/>
    <w:rsid w:val="002D3BA7"/>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2D3BA7"/>
    <w:pPr>
      <w:suppressLineNumbers/>
    </w:pPr>
    <w:rPr>
      <w:rFonts w:ascii="Times New Roman" w:hAnsi="Times New Roman" w:cs="Lohit Devanagari"/>
    </w:rPr>
  </w:style>
  <w:style w:type="paragraph" w:customStyle="1" w:styleId="CabealhoeRodap">
    <w:name w:val="Cabeçalho e Rodapé"/>
    <w:basedOn w:val="Normal"/>
    <w:qFormat/>
    <w:rsid w:val="002D3BA7"/>
  </w:style>
  <w:style w:type="paragraph" w:styleId="Cabealho">
    <w:name w:val="header"/>
    <w:basedOn w:val="Normal"/>
    <w:link w:val="CabealhoChar"/>
    <w:uiPriority w:val="99"/>
    <w:unhideWhenUsed/>
    <w:rsid w:val="00682177"/>
    <w:pPr>
      <w:tabs>
        <w:tab w:val="center" w:pos="4252"/>
        <w:tab w:val="right" w:pos="8504"/>
      </w:tabs>
    </w:pPr>
  </w:style>
  <w:style w:type="paragraph" w:styleId="Rodap">
    <w:name w:val="footer"/>
    <w:basedOn w:val="Normal"/>
    <w:link w:val="RodapChar"/>
    <w:uiPriority w:val="99"/>
    <w:unhideWhenUsed/>
    <w:rsid w:val="00682177"/>
    <w:pPr>
      <w:tabs>
        <w:tab w:val="center" w:pos="4252"/>
        <w:tab w:val="right" w:pos="8504"/>
      </w:tabs>
    </w:pPr>
  </w:style>
  <w:style w:type="paragraph" w:styleId="PargrafodaLista">
    <w:name w:val="List Paragraph"/>
    <w:basedOn w:val="Normal"/>
    <w:uiPriority w:val="34"/>
    <w:qFormat/>
    <w:rsid w:val="00977798"/>
    <w:pPr>
      <w:ind w:left="720"/>
      <w:contextualSpacing/>
    </w:pPr>
  </w:style>
  <w:style w:type="table" w:styleId="Tabelacomgrade">
    <w:name w:val="Table Grid"/>
    <w:basedOn w:val="Tabelanormal"/>
    <w:uiPriority w:val="59"/>
    <w:rsid w:val="0097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C50CC"/>
    <w:rPr>
      <w:rFonts w:ascii="Tahoma" w:hAnsi="Tahoma" w:cs="Tahoma"/>
      <w:sz w:val="16"/>
      <w:szCs w:val="16"/>
    </w:rPr>
  </w:style>
  <w:style w:type="character" w:customStyle="1" w:styleId="TextodebaloChar">
    <w:name w:val="Texto de balão Char"/>
    <w:basedOn w:val="Fontepargpadro"/>
    <w:link w:val="Textodebalo"/>
    <w:uiPriority w:val="99"/>
    <w:semiHidden/>
    <w:rsid w:val="00EC50CC"/>
    <w:rPr>
      <w:rFonts w:ascii="Tahoma" w:hAnsi="Tahoma" w:cs="Tahoma"/>
      <w:sz w:val="16"/>
      <w:szCs w:val="16"/>
      <w:lang w:eastAsia="pt-BR"/>
    </w:rPr>
  </w:style>
  <w:style w:type="paragraph" w:styleId="Textodenotaderodap">
    <w:name w:val="footnote text"/>
    <w:basedOn w:val="Normal"/>
    <w:link w:val="TextodenotaderodapChar"/>
    <w:uiPriority w:val="99"/>
    <w:semiHidden/>
    <w:unhideWhenUsed/>
    <w:rsid w:val="00D50CBD"/>
  </w:style>
  <w:style w:type="character" w:customStyle="1" w:styleId="TextodenotaderodapChar">
    <w:name w:val="Texto de nota de rodapé Char"/>
    <w:basedOn w:val="Fontepargpadro"/>
    <w:link w:val="Textodenotaderodap"/>
    <w:uiPriority w:val="99"/>
    <w:semiHidden/>
    <w:rsid w:val="00D50CBD"/>
    <w:rPr>
      <w:rFonts w:cs="Arial"/>
      <w:szCs w:val="20"/>
      <w:lang w:eastAsia="pt-BR"/>
    </w:rPr>
  </w:style>
  <w:style w:type="character" w:styleId="Refdenotaderodap">
    <w:name w:val="footnote reference"/>
    <w:basedOn w:val="Fontepargpadro"/>
    <w:uiPriority w:val="99"/>
    <w:semiHidden/>
    <w:unhideWhenUsed/>
    <w:rsid w:val="00D50CBD"/>
    <w:rPr>
      <w:vertAlign w:val="superscript"/>
    </w:rPr>
  </w:style>
  <w:style w:type="character" w:styleId="Hyperlink">
    <w:name w:val="Hyperlink"/>
    <w:basedOn w:val="Fontepargpadro"/>
    <w:uiPriority w:val="99"/>
    <w:semiHidden/>
    <w:unhideWhenUsed/>
    <w:rsid w:val="00D50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lataformamaisbrasil.gov.br/images/docs/CGCAT/manuais/Convenio_Contrato_de_Repasse_Termo_de_parceria_operados_por_OBTV.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o.gov.br/cge" TargetMode="External"/><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94441-D44B-4FE2-A921-0CB0BB66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AMANDA FELIX RIBEIRO</cp:lastModifiedBy>
  <cp:revision>3</cp:revision>
  <cp:lastPrinted>2019-09-12T12:59:00Z</cp:lastPrinted>
  <dcterms:created xsi:type="dcterms:W3CDTF">2021-08-12T18:46:00Z</dcterms:created>
  <dcterms:modified xsi:type="dcterms:W3CDTF">2021-08-27T19:31:00Z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