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26" w:rsidRDefault="00EF1AE6">
      <w:pPr>
        <w:pStyle w:val="Cabealho"/>
        <w:spacing w:line="360" w:lineRule="auto"/>
        <w:jc w:val="center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CHECKLIST</w:t>
      </w:r>
      <w:proofErr w:type="spellEnd"/>
    </w:p>
    <w:p w:rsidR="00835F26" w:rsidRDefault="00835F26">
      <w:pPr>
        <w:pStyle w:val="Cabealho"/>
        <w:spacing w:line="360" w:lineRule="auto"/>
        <w:jc w:val="center"/>
        <w:outlineLvl w:val="0"/>
        <w:rPr>
          <w:b/>
          <w:bCs/>
          <w:sz w:val="18"/>
          <w:szCs w:val="18"/>
        </w:rPr>
      </w:pPr>
    </w:p>
    <w:p w:rsidR="00835F26" w:rsidRDefault="00EF1AE6">
      <w:pPr>
        <w:pStyle w:val="Cabealho"/>
        <w:spacing w:line="360" w:lineRule="auto"/>
        <w:jc w:val="center"/>
        <w:outlineLvl w:val="0"/>
        <w:rPr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Fiscal de Contrato - Recebimento de Material</w:t>
      </w:r>
    </w:p>
    <w:p w:rsidR="00835F26" w:rsidRDefault="00835F26">
      <w:pPr>
        <w:pStyle w:val="Cabealho"/>
        <w:spacing w:line="360" w:lineRule="auto"/>
        <w:jc w:val="center"/>
        <w:outlineLvl w:val="0"/>
        <w:rPr>
          <w:bCs/>
          <w:sz w:val="18"/>
          <w:szCs w:val="18"/>
        </w:rPr>
      </w:pPr>
    </w:p>
    <w:p w:rsidR="00835F26" w:rsidRDefault="00EF1AE6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Órgão/ Entidade: ________________________________________</w:t>
      </w:r>
      <w:bookmarkStart w:id="0" w:name="_Hlk34116124"/>
      <w:r>
        <w:rPr>
          <w:sz w:val="18"/>
          <w:szCs w:val="18"/>
        </w:rPr>
        <w:t>__________</w:t>
      </w:r>
      <w:bookmarkEnd w:id="0"/>
      <w:r>
        <w:rPr>
          <w:sz w:val="18"/>
          <w:szCs w:val="18"/>
        </w:rPr>
        <w:t>____________________________________</w:t>
      </w:r>
    </w:p>
    <w:p w:rsidR="00835F26" w:rsidRDefault="00EF1AE6">
      <w:pPr>
        <w:spacing w:before="120" w:after="12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Processo nº: </w:t>
      </w:r>
      <w:r>
        <w:rPr>
          <w:sz w:val="18"/>
          <w:szCs w:val="18"/>
        </w:rPr>
        <w:t>__________________________________________________________________________________________</w:t>
      </w:r>
    </w:p>
    <w:p w:rsidR="00835F26" w:rsidRDefault="00EF1AE6">
      <w:pPr>
        <w:spacing w:before="120" w:after="120" w:line="360" w:lineRule="auto"/>
        <w:rPr>
          <w:sz w:val="18"/>
          <w:szCs w:val="18"/>
        </w:rPr>
      </w:pPr>
      <w:r>
        <w:rPr>
          <w:sz w:val="18"/>
          <w:szCs w:val="18"/>
        </w:rPr>
        <w:t>Objeto do contrato: ____________________________________________________________________________________</w:t>
      </w:r>
    </w:p>
    <w:p w:rsidR="00835F26" w:rsidRDefault="00EF1AE6">
      <w:pPr>
        <w:spacing w:before="120" w:after="120" w:line="360" w:lineRule="auto"/>
        <w:rPr>
          <w:sz w:val="18"/>
          <w:szCs w:val="18"/>
        </w:rPr>
      </w:pPr>
      <w:r>
        <w:rPr>
          <w:sz w:val="18"/>
          <w:szCs w:val="18"/>
        </w:rPr>
        <w:t>Nome do Fiscal:_____________________________________________</w:t>
      </w:r>
      <w:r>
        <w:rPr>
          <w:sz w:val="18"/>
          <w:szCs w:val="18"/>
        </w:rPr>
        <w:t>__________________________________________</w:t>
      </w:r>
    </w:p>
    <w:p w:rsidR="00835F26" w:rsidRDefault="00EF1AE6">
      <w:pPr>
        <w:spacing w:before="120" w:after="120" w:line="360" w:lineRule="auto"/>
        <w:rPr>
          <w:sz w:val="18"/>
          <w:szCs w:val="18"/>
        </w:rPr>
      </w:pPr>
      <w:r>
        <w:rPr>
          <w:sz w:val="18"/>
          <w:szCs w:val="18"/>
        </w:rPr>
        <w:t>Portaria de designação nº ________________________________________________________________________________</w:t>
      </w:r>
    </w:p>
    <w:p w:rsidR="00835F26" w:rsidRDefault="00835F26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835F26" w:rsidRDefault="00EF1A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fiscalização representa um dever-poder da Administração, expressamente previsto no art. 58, inc. </w:t>
      </w:r>
      <w:proofErr w:type="spellStart"/>
      <w:r>
        <w:rPr>
          <w:sz w:val="18"/>
          <w:szCs w:val="18"/>
        </w:rPr>
        <w:t>III</w:t>
      </w:r>
      <w:proofErr w:type="spellEnd"/>
      <w:r>
        <w:rPr>
          <w:sz w:val="18"/>
          <w:szCs w:val="18"/>
        </w:rPr>
        <w:t>, e</w:t>
      </w:r>
      <w:r>
        <w:rPr>
          <w:sz w:val="18"/>
          <w:szCs w:val="18"/>
        </w:rPr>
        <w:t xml:space="preserve"> art. 67 e seguintes da Lei nº 8.666/93, devendo ser exercido pelo Fiscal de Contratos constituído por servidor especialmente designado para representar a Administração e verificar a execução física do objeto contratual. Sua atuação deverá respeitar os pri</w:t>
      </w:r>
      <w:r>
        <w:rPr>
          <w:sz w:val="18"/>
          <w:szCs w:val="18"/>
        </w:rPr>
        <w:t xml:space="preserve">ncípios gerais de direito e em especial aos princípios da Administração Pública, pautando suas ações na observância ao Manual de Orientação para Gestão e Fiscalização de Contratos disponível no </w:t>
      </w:r>
      <w:hyperlink r:id="rId9">
        <w:r>
          <w:rPr>
            <w:rStyle w:val="LinkdaInternet"/>
            <w:sz w:val="18"/>
            <w:szCs w:val="18"/>
          </w:rPr>
          <w:t>www.cge.to</w:t>
        </w:r>
        <w:r>
          <w:rPr>
            <w:rStyle w:val="LinkdaInternet"/>
            <w:sz w:val="18"/>
            <w:szCs w:val="18"/>
          </w:rPr>
          <w:t>.gov.br/manuais</w:t>
        </w:r>
      </w:hyperlink>
      <w:r>
        <w:rPr>
          <w:rStyle w:val="LinkdaInternet"/>
          <w:sz w:val="18"/>
          <w:szCs w:val="18"/>
          <w:u w:val="none"/>
        </w:rPr>
        <w:t>,</w:t>
      </w:r>
      <w:r>
        <w:rPr>
          <w:sz w:val="18"/>
          <w:szCs w:val="18"/>
        </w:rPr>
        <w:t xml:space="preserve"> à Lei 8.666/93 e todo arcabouço normativo pertinente.</w:t>
      </w:r>
    </w:p>
    <w:p w:rsidR="00835F26" w:rsidRDefault="00835F26">
      <w:pPr>
        <w:spacing w:line="360" w:lineRule="auto"/>
        <w:ind w:firstLine="1134"/>
        <w:jc w:val="both"/>
        <w:rPr>
          <w:sz w:val="18"/>
          <w:szCs w:val="18"/>
        </w:rPr>
      </w:pPr>
    </w:p>
    <w:p w:rsidR="00835F26" w:rsidRDefault="00EF1AE6">
      <w:pPr>
        <w:ind w:right="-1"/>
        <w:rPr>
          <w:rFonts w:eastAsia="Arial"/>
          <w:b/>
          <w:sz w:val="18"/>
          <w:szCs w:val="18"/>
        </w:rPr>
      </w:pPr>
      <w:r>
        <w:rPr>
          <w:rFonts w:eastAsia="Arial"/>
          <w:b/>
          <w:sz w:val="18"/>
          <w:szCs w:val="18"/>
        </w:rPr>
        <w:t>Legenda: S = Sim; N = Não; NA = Não se Aplica.</w:t>
      </w:r>
    </w:p>
    <w:tbl>
      <w:tblPr>
        <w:tblW w:w="907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000" w:firstRow="0" w:lastRow="0" w:firstColumn="0" w:lastColumn="0" w:noHBand="0" w:noVBand="0"/>
      </w:tblPr>
      <w:tblGrid>
        <w:gridCol w:w="5112"/>
        <w:gridCol w:w="708"/>
        <w:gridCol w:w="3252"/>
      </w:tblGrid>
      <w:tr w:rsidR="00835F26">
        <w:trPr>
          <w:trHeight w:val="454"/>
        </w:trPr>
        <w:tc>
          <w:tcPr>
            <w:tcW w:w="5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6A6A6" w:themeFill="background1" w:themeFillShade="A6"/>
            <w:vAlign w:val="center"/>
          </w:tcPr>
          <w:p w:rsidR="00835F26" w:rsidRDefault="00EF1AE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Preenchimento fiscal de contrato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99"/>
            <w:tcMar>
              <w:top w:w="17" w:type="dxa"/>
              <w:left w:w="0" w:type="dxa"/>
              <w:bottom w:w="17" w:type="dxa"/>
              <w:right w:w="17" w:type="dxa"/>
            </w:tcMar>
            <w:vAlign w:val="center"/>
          </w:tcPr>
          <w:p w:rsidR="00835F26" w:rsidRDefault="00EF1AE6">
            <w:pPr>
              <w:widowControl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S/N/NA 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99"/>
            <w:vAlign w:val="center"/>
          </w:tcPr>
          <w:p w:rsidR="00835F26" w:rsidRDefault="00EF1AE6">
            <w:pPr>
              <w:widowControl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Observações do fiscal</w:t>
            </w:r>
          </w:p>
        </w:tc>
      </w:tr>
      <w:tr w:rsidR="00835F26">
        <w:trPr>
          <w:trHeight w:val="454"/>
        </w:trPr>
        <w:tc>
          <w:tcPr>
            <w:tcW w:w="5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F26" w:rsidRDefault="00EF1AE6">
            <w:pPr>
              <w:pStyle w:val="PargrafodaLista"/>
              <w:widowControl w:val="0"/>
              <w:numPr>
                <w:ilvl w:val="0"/>
                <w:numId w:val="1"/>
              </w:numPr>
              <w:ind w:left="441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Consta a publicação</w:t>
            </w:r>
            <w:r>
              <w:rPr>
                <w:rStyle w:val="FootnoteAnchor"/>
                <w:sz w:val="18"/>
                <w:szCs w:val="18"/>
              </w:rPr>
              <w:footnoteReference w:id="1"/>
            </w:r>
            <w:r>
              <w:rPr>
                <w:sz w:val="18"/>
                <w:szCs w:val="18"/>
              </w:rPr>
              <w:t xml:space="preserve"> da portaria de designação no </w:t>
            </w:r>
            <w:proofErr w:type="spellStart"/>
            <w:r>
              <w:rPr>
                <w:sz w:val="18"/>
                <w:szCs w:val="18"/>
              </w:rPr>
              <w:t>D.O</w:t>
            </w:r>
            <w:proofErr w:type="spellEnd"/>
            <w:r>
              <w:rPr>
                <w:sz w:val="18"/>
                <w:szCs w:val="18"/>
              </w:rPr>
              <w:t xml:space="preserve">, com a data prévia ou, no máximo, contemporânea ao início da vigência contratual? (art. 67, </w:t>
            </w:r>
            <w:r>
              <w:rPr>
                <w:i/>
                <w:sz w:val="18"/>
                <w:szCs w:val="18"/>
              </w:rPr>
              <w:t>caput</w:t>
            </w:r>
            <w:r>
              <w:rPr>
                <w:sz w:val="18"/>
                <w:szCs w:val="18"/>
              </w:rPr>
              <w:t xml:space="preserve"> da Lei nº 8.666/93; Acórdão nº 1.094/2013–TCU-Plenário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F26" w:rsidRDefault="00835F26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F26" w:rsidRDefault="00835F26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35F26">
        <w:trPr>
          <w:trHeight w:val="454"/>
        </w:trPr>
        <w:tc>
          <w:tcPr>
            <w:tcW w:w="5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F26" w:rsidRDefault="00EF1AE6">
            <w:pPr>
              <w:pStyle w:val="PargrafodaLista"/>
              <w:widowControl w:val="0"/>
              <w:numPr>
                <w:ilvl w:val="0"/>
                <w:numId w:val="1"/>
              </w:numPr>
              <w:ind w:left="441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Caso haja algum impedimento que o fiscal não possa assumir, </w:t>
            </w:r>
            <w:r>
              <w:rPr>
                <w:sz w:val="18"/>
                <w:szCs w:val="18"/>
              </w:rPr>
              <w:t>houve pronunciamento?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F26" w:rsidRDefault="00835F26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F26" w:rsidRDefault="00835F26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35F26">
        <w:trPr>
          <w:trHeight w:val="454"/>
        </w:trPr>
        <w:tc>
          <w:tcPr>
            <w:tcW w:w="5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F26" w:rsidRDefault="00EF1AE6">
            <w:pPr>
              <w:pStyle w:val="PargrafodaLista"/>
              <w:widowControl w:val="0"/>
              <w:numPr>
                <w:ilvl w:val="0"/>
                <w:numId w:val="1"/>
              </w:numPr>
              <w:ind w:left="441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recebimento provisório do bem (consumo/permanente) o fiscal responsável foi quem recebeu a mercadoria? Se não, quem recebeu foi identificado?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F26" w:rsidRDefault="00835F26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F26" w:rsidRDefault="00835F26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35F26">
        <w:trPr>
          <w:trHeight w:val="454"/>
        </w:trPr>
        <w:tc>
          <w:tcPr>
            <w:tcW w:w="5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F26" w:rsidRDefault="00EF1AE6">
            <w:pPr>
              <w:pStyle w:val="PargrafodaLista"/>
              <w:widowControl w:val="0"/>
              <w:numPr>
                <w:ilvl w:val="0"/>
                <w:numId w:val="1"/>
              </w:numPr>
              <w:ind w:left="441" w:right="1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recebimento do bem, houve a necessidade de buscar auxílio junto às áreas </w:t>
            </w:r>
            <w:r>
              <w:rPr>
                <w:sz w:val="18"/>
                <w:szCs w:val="18"/>
              </w:rPr>
              <w:t>competentes para que se efetue corretamente o atesto?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F26" w:rsidRDefault="00835F26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F26" w:rsidRDefault="00835F26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35F26">
        <w:trPr>
          <w:trHeight w:val="454"/>
        </w:trPr>
        <w:tc>
          <w:tcPr>
            <w:tcW w:w="5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F26" w:rsidRDefault="00EF1AE6">
            <w:pPr>
              <w:pStyle w:val="PargrafodaLista"/>
              <w:widowControl w:val="0"/>
              <w:numPr>
                <w:ilvl w:val="0"/>
                <w:numId w:val="1"/>
              </w:numPr>
              <w:ind w:left="441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recebimento provisório do bem, foi verificada a condição física e visual do material entregue? (armazenado em boas condições, sem danos provenientes: amassadas, avarias, embalagem danificada, riscadas, úmidas, oxidação, mão transportada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F26" w:rsidRDefault="00835F26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F26" w:rsidRDefault="00835F26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35F26">
        <w:trPr>
          <w:trHeight w:val="454"/>
        </w:trPr>
        <w:tc>
          <w:tcPr>
            <w:tcW w:w="5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F26" w:rsidRDefault="00EF1AE6">
            <w:pPr>
              <w:pStyle w:val="PargrafodaLista"/>
              <w:widowControl w:val="0"/>
              <w:numPr>
                <w:ilvl w:val="0"/>
                <w:numId w:val="1"/>
              </w:numPr>
              <w:ind w:left="441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data da N</w:t>
            </w:r>
            <w:r>
              <w:rPr>
                <w:sz w:val="18"/>
                <w:szCs w:val="18"/>
              </w:rPr>
              <w:t xml:space="preserve">ota fiscal consta após o período previsto para o início da vigência do contrato ou a data da nota de empenho?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F26" w:rsidRDefault="00835F26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F26" w:rsidRDefault="00835F26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35F26">
        <w:trPr>
          <w:trHeight w:val="454"/>
        </w:trPr>
        <w:tc>
          <w:tcPr>
            <w:tcW w:w="5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F26" w:rsidRDefault="00EF1AE6">
            <w:pPr>
              <w:pStyle w:val="PargrafodaLista"/>
              <w:widowControl w:val="0"/>
              <w:numPr>
                <w:ilvl w:val="0"/>
                <w:numId w:val="1"/>
              </w:numPr>
              <w:ind w:left="441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Consta informado na nota fiscal o CNPJ, nº do edital de licitação, número do contrato/empenho e endereço do órgão ou entidade solicitante?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F26" w:rsidRDefault="00835F26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F26" w:rsidRDefault="00835F26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35F26">
        <w:trPr>
          <w:trHeight w:val="454"/>
        </w:trPr>
        <w:tc>
          <w:tcPr>
            <w:tcW w:w="5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F26" w:rsidRDefault="00EF1AE6">
            <w:pPr>
              <w:pStyle w:val="PargrafodaLista"/>
              <w:widowControl w:val="0"/>
              <w:numPr>
                <w:ilvl w:val="0"/>
                <w:numId w:val="1"/>
              </w:numPr>
              <w:ind w:left="441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Consta na nota fiscal a descrição, o quantitativo, o valor unitário e global confere com as especificações contidas no contrato ou/e na nota de empenho?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F26" w:rsidRDefault="00835F26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F26" w:rsidRDefault="00835F26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35F26">
        <w:trPr>
          <w:trHeight w:val="454"/>
        </w:trPr>
        <w:tc>
          <w:tcPr>
            <w:tcW w:w="5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F26" w:rsidRDefault="00EF1AE6">
            <w:pPr>
              <w:pStyle w:val="PargrafodaLista"/>
              <w:widowControl w:val="0"/>
              <w:numPr>
                <w:ilvl w:val="0"/>
                <w:numId w:val="1"/>
              </w:numPr>
              <w:ind w:left="441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 materiais físicos foram entregues conforme solicitados, quanto os aspectos quantitativos e quali</w:t>
            </w:r>
            <w:r>
              <w:rPr>
                <w:sz w:val="18"/>
                <w:szCs w:val="18"/>
              </w:rPr>
              <w:t>tativos?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F26" w:rsidRDefault="00835F26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F26" w:rsidRDefault="00835F26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35F26">
        <w:trPr>
          <w:trHeight w:val="454"/>
        </w:trPr>
        <w:tc>
          <w:tcPr>
            <w:tcW w:w="5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F26" w:rsidRDefault="00EF1AE6">
            <w:pPr>
              <w:pStyle w:val="PargrafodaLista"/>
              <w:widowControl w:val="0"/>
              <w:numPr>
                <w:ilvl w:val="0"/>
                <w:numId w:val="1"/>
              </w:numPr>
              <w:ind w:left="441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produto recebido consta com a data dentro do prazo de validade?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F26" w:rsidRDefault="00835F26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F26" w:rsidRDefault="00835F26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35F26">
        <w:trPr>
          <w:trHeight w:val="454"/>
        </w:trPr>
        <w:tc>
          <w:tcPr>
            <w:tcW w:w="5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F26" w:rsidRDefault="00EF1AE6">
            <w:pPr>
              <w:pStyle w:val="PargrafodaLista"/>
              <w:widowControl w:val="0"/>
              <w:numPr>
                <w:ilvl w:val="0"/>
                <w:numId w:val="1"/>
              </w:numPr>
              <w:ind w:left="441" w:right="1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Observar o tipo de produto recebido se consta o prazo mínimo da validade solicitada no edital de licitação, quando for o caso?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F26" w:rsidRDefault="00835F26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F26" w:rsidRDefault="00835F26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35F26">
        <w:trPr>
          <w:trHeight w:val="454"/>
        </w:trPr>
        <w:tc>
          <w:tcPr>
            <w:tcW w:w="5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F26" w:rsidRDefault="00EF1AE6">
            <w:pPr>
              <w:pStyle w:val="PargrafodaLista"/>
              <w:widowControl w:val="0"/>
              <w:numPr>
                <w:ilvl w:val="0"/>
                <w:numId w:val="1"/>
              </w:numPr>
              <w:ind w:left="441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Consta no caso de aquisição de grande vulto</w:t>
            </w:r>
            <w:r>
              <w:rPr>
                <w:rStyle w:val="FootnoteAnchor"/>
                <w:sz w:val="18"/>
                <w:szCs w:val="18"/>
              </w:rPr>
              <w:footnoteReference w:id="2"/>
            </w:r>
            <w:r>
              <w:rPr>
                <w:sz w:val="18"/>
                <w:szCs w:val="18"/>
              </w:rPr>
              <w:t>, o termo circunstanciado, e nas demais mediante recibo, o recebimento do objeto provisório e/ou definitivamente? (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art. 73, II, §1º da Lei Federal nº 8.666/1993</w:t>
            </w:r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F26" w:rsidRDefault="00835F26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F26" w:rsidRDefault="00835F26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35F26">
        <w:trPr>
          <w:trHeight w:val="454"/>
        </w:trPr>
        <w:tc>
          <w:tcPr>
            <w:tcW w:w="5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F26" w:rsidRDefault="00EF1AE6">
            <w:pPr>
              <w:pStyle w:val="PargrafodaLista"/>
              <w:widowControl w:val="0"/>
              <w:numPr>
                <w:ilvl w:val="0"/>
                <w:numId w:val="1"/>
              </w:numPr>
              <w:ind w:left="441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Fora dado recebimento definitivo de equipamentos e material permanente enseja o tombamento,</w:t>
            </w:r>
            <w:r>
              <w:rPr>
                <w:sz w:val="18"/>
                <w:szCs w:val="18"/>
              </w:rPr>
              <w:t xml:space="preserve"> a incorporação e o registro do bem no documento fiscal, a cargo do responsável pelo patrimônio do Órgão ou Entidade, antes da sua utilização? (art. 18 do Decreto Orçamentário nº 6.237/2021).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F26" w:rsidRDefault="00835F26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F26" w:rsidRDefault="00835F26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835F26" w:rsidRDefault="00835F26">
      <w:pPr>
        <w:jc w:val="both"/>
        <w:rPr>
          <w:sz w:val="18"/>
          <w:szCs w:val="18"/>
        </w:rPr>
      </w:pPr>
    </w:p>
    <w:p w:rsidR="00835F26" w:rsidRDefault="00835F26">
      <w:pPr>
        <w:spacing w:line="360" w:lineRule="auto"/>
        <w:rPr>
          <w:b/>
          <w:sz w:val="18"/>
          <w:szCs w:val="18"/>
        </w:rPr>
      </w:pPr>
    </w:p>
    <w:p w:rsidR="00835F26" w:rsidRDefault="00EF1AE6">
      <w:pPr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Fiscal designado</w:t>
      </w:r>
    </w:p>
    <w:tbl>
      <w:tblPr>
        <w:tblW w:w="0" w:type="auto"/>
        <w:tblInd w:w="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6"/>
      </w:tblGrid>
      <w:tr w:rsidR="00EF1AE6" w:rsidTr="00EF1AE6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2156" w:type="dxa"/>
          </w:tcPr>
          <w:p w:rsidR="00EF1AE6" w:rsidRDefault="00EF1AE6">
            <w:pPr>
              <w:tabs>
                <w:tab w:val="left" w:pos="1245"/>
                <w:tab w:val="left" w:pos="3261"/>
              </w:tabs>
              <w:spacing w:line="360" w:lineRule="auto"/>
              <w:ind w:right="-1"/>
              <w:rPr>
                <w:sz w:val="18"/>
                <w:szCs w:val="18"/>
              </w:rPr>
            </w:pPr>
            <w:bookmarkStart w:id="1" w:name="_GoBack"/>
            <w:bookmarkEnd w:id="1"/>
          </w:p>
        </w:tc>
      </w:tr>
    </w:tbl>
    <w:p w:rsidR="00835F26" w:rsidRDefault="00835F26">
      <w:pPr>
        <w:tabs>
          <w:tab w:val="left" w:pos="1245"/>
          <w:tab w:val="left" w:pos="3261"/>
        </w:tabs>
        <w:spacing w:line="360" w:lineRule="auto"/>
        <w:ind w:right="-1"/>
        <w:rPr>
          <w:sz w:val="18"/>
          <w:szCs w:val="18"/>
        </w:rPr>
      </w:pPr>
    </w:p>
    <w:sectPr w:rsidR="00835F26">
      <w:headerReference w:type="default" r:id="rId10"/>
      <w:pgSz w:w="11906" w:h="16838"/>
      <w:pgMar w:top="2070" w:right="1134" w:bottom="1701" w:left="1701" w:header="405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1AE6">
      <w:r>
        <w:separator/>
      </w:r>
    </w:p>
  </w:endnote>
  <w:endnote w:type="continuationSeparator" w:id="0">
    <w:p w:rsidR="00000000" w:rsidRDefault="00EF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F26" w:rsidRDefault="00EF1AE6">
      <w:pPr>
        <w:rPr>
          <w:sz w:val="12"/>
        </w:rPr>
      </w:pPr>
      <w:r>
        <w:separator/>
      </w:r>
    </w:p>
  </w:footnote>
  <w:footnote w:type="continuationSeparator" w:id="0">
    <w:p w:rsidR="00835F26" w:rsidRDefault="00EF1AE6">
      <w:pPr>
        <w:rPr>
          <w:sz w:val="12"/>
        </w:rPr>
      </w:pPr>
      <w:r>
        <w:continuationSeparator/>
      </w:r>
    </w:p>
  </w:footnote>
  <w:footnote w:id="1">
    <w:p w:rsidR="00835F26" w:rsidRDefault="00EF1AE6">
      <w:pPr>
        <w:pStyle w:val="Textodenotaderodap"/>
        <w:widowControl w:val="0"/>
        <w:jc w:val="both"/>
        <w:rPr>
          <w:sz w:val="14"/>
          <w:szCs w:val="14"/>
        </w:rPr>
      </w:pPr>
      <w:r>
        <w:rPr>
          <w:rStyle w:val="FootnoteCharacters"/>
        </w:rPr>
        <w:footnoteRef/>
      </w:r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Após a publicação da Portaria de designação do fiscal ou comissão do contrato, o fiscal deverá iniciar um Registro Próprio, para sua segurança e controle, com peças principais do processo (edital de licitação, termo de referência, proposta, planilha de f</w:t>
      </w:r>
      <w:r>
        <w:rPr>
          <w:sz w:val="14"/>
          <w:szCs w:val="14"/>
        </w:rPr>
        <w:t>ormação de custos, contrato, aditivos, publicações, dentre outros que achar pertinente), juntando no decorrer da execução, quando for o caso, as ocorrências relacionadas com a execução do contrato determinando o que for necessário à regularização das falta</w:t>
      </w:r>
      <w:r>
        <w:rPr>
          <w:sz w:val="14"/>
          <w:szCs w:val="14"/>
        </w:rPr>
        <w:t>s ou defeitos observados, visto que este registro poderá ser utilizado como instrumento para rescisão contratual se houver o cometimento reiterado de faltas (Acórdão nº 734/2005–TCU–1</w:t>
      </w:r>
      <w:r>
        <w:rPr>
          <w:sz w:val="14"/>
          <w:szCs w:val="14"/>
          <w:vertAlign w:val="superscript"/>
        </w:rPr>
        <w:t>a</w:t>
      </w:r>
      <w:r>
        <w:rPr>
          <w:sz w:val="14"/>
          <w:szCs w:val="14"/>
        </w:rPr>
        <w:t xml:space="preserve"> Câmara, art. 67, §1</w:t>
      </w:r>
      <w:r>
        <w:rPr>
          <w:sz w:val="14"/>
          <w:szCs w:val="14"/>
          <w:vertAlign w:val="superscript"/>
        </w:rPr>
        <w:t>o</w:t>
      </w:r>
      <w:r>
        <w:rPr>
          <w:sz w:val="14"/>
          <w:szCs w:val="14"/>
        </w:rPr>
        <w:t xml:space="preserve"> e art. 78, inc.</w:t>
      </w:r>
      <w:proofErr w:type="gram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VIII</w:t>
      </w:r>
      <w:proofErr w:type="spellEnd"/>
      <w:r>
        <w:rPr>
          <w:sz w:val="14"/>
          <w:szCs w:val="14"/>
        </w:rPr>
        <w:t xml:space="preserve"> da Lei Federal nº 8.666/1993)</w:t>
      </w:r>
      <w:r>
        <w:rPr>
          <w:sz w:val="14"/>
          <w:szCs w:val="14"/>
        </w:rPr>
        <w:t>.</w:t>
      </w:r>
    </w:p>
    <w:p w:rsidR="00835F26" w:rsidRDefault="00EF1AE6">
      <w:pPr>
        <w:pStyle w:val="Textodenotaderodap"/>
        <w:widowControl w:val="0"/>
      </w:pPr>
      <w:r>
        <w:t xml:space="preserve"> </w:t>
      </w:r>
    </w:p>
  </w:footnote>
  <w:footnote w:id="2">
    <w:p w:rsidR="00835F26" w:rsidRDefault="00EF1AE6">
      <w:pPr>
        <w:pStyle w:val="Textodenotaderodap"/>
        <w:widowControl w:val="0"/>
        <w:rPr>
          <w:sz w:val="14"/>
          <w:szCs w:val="14"/>
        </w:rPr>
      </w:pPr>
      <w:r>
        <w:rPr>
          <w:rStyle w:val="FootnoteCharacters"/>
        </w:rPr>
        <w:footnoteRef/>
      </w:r>
      <w:r>
        <w:rPr>
          <w:sz w:val="14"/>
          <w:szCs w:val="14"/>
        </w:rPr>
        <w:t xml:space="preserve">  O recebimento de material de valor superior ao limite para a modalidade de convite</w:t>
      </w:r>
      <w:proofErr w:type="gramStart"/>
      <w:r>
        <w:rPr>
          <w:sz w:val="14"/>
          <w:szCs w:val="14"/>
        </w:rPr>
        <w:t>, deverá</w:t>
      </w:r>
      <w:proofErr w:type="gramEnd"/>
      <w:r>
        <w:rPr>
          <w:sz w:val="14"/>
          <w:szCs w:val="14"/>
        </w:rPr>
        <w:t xml:space="preserve"> ser confiado a uma comissão de, no mínimo, 3 (três) membros. (art. 15, § 8º da Lei nº 8.666/93</w:t>
      </w:r>
      <w:proofErr w:type="gramStart"/>
      <w:r>
        <w:rPr>
          <w:sz w:val="14"/>
          <w:szCs w:val="14"/>
        </w:rPr>
        <w:t>)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8" w:type="dxa"/>
      <w:tblInd w:w="-175" w:type="dxa"/>
      <w:tblLook w:val="04A0" w:firstRow="1" w:lastRow="0" w:firstColumn="1" w:lastColumn="0" w:noHBand="0" w:noVBand="1"/>
    </w:tblPr>
    <w:tblGrid>
      <w:gridCol w:w="5814"/>
      <w:gridCol w:w="4284"/>
    </w:tblGrid>
    <w:tr w:rsidR="00EF1AE6" w:rsidRPr="008B64DD" w:rsidTr="001020C8">
      <w:trPr>
        <w:trHeight w:val="859"/>
      </w:trPr>
      <w:tc>
        <w:tcPr>
          <w:tcW w:w="5813" w:type="dxa"/>
          <w:hideMark/>
        </w:tcPr>
        <w:p w:rsidR="00EF1AE6" w:rsidRPr="008B64DD" w:rsidRDefault="00EF1AE6" w:rsidP="001020C8">
          <w:pPr>
            <w:tabs>
              <w:tab w:val="center" w:pos="4252"/>
              <w:tab w:val="right" w:pos="8504"/>
            </w:tabs>
            <w:suppressAutoHyphens w:val="0"/>
            <w:jc w:val="both"/>
            <w:rPr>
              <w:color w:val="000000"/>
            </w:rPr>
          </w:pPr>
          <w:r w:rsidRPr="008B64DD">
            <w:rPr>
              <w:rFonts w:cs="Arial"/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338D1F3F" wp14:editId="47F47599">
                <wp:simplePos x="0" y="0"/>
                <wp:positionH relativeFrom="margin">
                  <wp:posOffset>145415</wp:posOffset>
                </wp:positionH>
                <wp:positionV relativeFrom="margin">
                  <wp:posOffset>26670</wp:posOffset>
                </wp:positionV>
                <wp:extent cx="3144520" cy="533400"/>
                <wp:effectExtent l="0" t="0" r="0" b="0"/>
                <wp:wrapSquare wrapText="bothSides"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452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84" w:type="dxa"/>
          <w:hideMark/>
        </w:tcPr>
        <w:p w:rsidR="00EF1AE6" w:rsidRPr="008B64DD" w:rsidRDefault="00EF1AE6" w:rsidP="001020C8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cs="Calibri"/>
              <w:bCs/>
              <w:color w:val="000000"/>
              <w:sz w:val="18"/>
              <w:szCs w:val="18"/>
            </w:rPr>
          </w:pPr>
          <w:r w:rsidRPr="008B64DD">
            <w:rPr>
              <w:rFonts w:cs="Calibri"/>
              <w:bCs/>
              <w:color w:val="000000"/>
              <w:sz w:val="18"/>
              <w:szCs w:val="18"/>
            </w:rPr>
            <w:t xml:space="preserve">Praça dos Girassóis, Esplanada das </w:t>
          </w:r>
          <w:proofErr w:type="gramStart"/>
          <w:r w:rsidRPr="008B64DD">
            <w:rPr>
              <w:rFonts w:cs="Calibri"/>
              <w:bCs/>
              <w:color w:val="000000"/>
              <w:sz w:val="18"/>
              <w:szCs w:val="18"/>
            </w:rPr>
            <w:t>Secretarias</w:t>
          </w:r>
          <w:proofErr w:type="gramEnd"/>
        </w:p>
        <w:p w:rsidR="00EF1AE6" w:rsidRPr="008B64DD" w:rsidRDefault="00EF1AE6" w:rsidP="001020C8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cs="Calibri"/>
              <w:color w:val="000000"/>
              <w:sz w:val="18"/>
              <w:szCs w:val="18"/>
            </w:rPr>
          </w:pPr>
          <w:r w:rsidRPr="008B64DD">
            <w:rPr>
              <w:rFonts w:cs="Calibri"/>
              <w:bCs/>
              <w:color w:val="000000"/>
              <w:sz w:val="18"/>
              <w:szCs w:val="18"/>
            </w:rPr>
            <w:t xml:space="preserve">Av. NS-2, Prédio I, S/N, Plano Diretor </w:t>
          </w:r>
          <w:proofErr w:type="gramStart"/>
          <w:r w:rsidRPr="008B64DD">
            <w:rPr>
              <w:rFonts w:cs="Calibri"/>
              <w:bCs/>
              <w:color w:val="000000"/>
              <w:sz w:val="18"/>
              <w:szCs w:val="18"/>
            </w:rPr>
            <w:t>Norte</w:t>
          </w:r>
          <w:proofErr w:type="gramEnd"/>
          <w:r w:rsidRPr="008B64DD">
            <w:rPr>
              <w:rFonts w:cs="Calibri"/>
              <w:color w:val="000000"/>
              <w:sz w:val="18"/>
              <w:szCs w:val="18"/>
            </w:rPr>
            <w:t xml:space="preserve"> </w:t>
          </w:r>
        </w:p>
        <w:p w:rsidR="00EF1AE6" w:rsidRPr="008B64DD" w:rsidRDefault="00EF1AE6" w:rsidP="001020C8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cs="Calibri"/>
              <w:color w:val="000000"/>
              <w:sz w:val="18"/>
              <w:szCs w:val="18"/>
            </w:rPr>
          </w:pPr>
          <w:r w:rsidRPr="008B64DD">
            <w:rPr>
              <w:rFonts w:cs="Calibri"/>
              <w:color w:val="000000"/>
              <w:sz w:val="18"/>
              <w:szCs w:val="18"/>
            </w:rPr>
            <w:t>Palmas – Tocantins – CEP: 77.001-002</w:t>
          </w:r>
        </w:p>
        <w:p w:rsidR="00EF1AE6" w:rsidRPr="008B64DD" w:rsidRDefault="00EF1AE6" w:rsidP="001020C8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cs="Calibri"/>
              <w:color w:val="000000"/>
              <w:sz w:val="18"/>
              <w:szCs w:val="18"/>
            </w:rPr>
          </w:pPr>
          <w:proofErr w:type="spellStart"/>
          <w:r w:rsidRPr="008B64DD">
            <w:rPr>
              <w:rFonts w:cs="Calibri"/>
              <w:color w:val="000000"/>
              <w:sz w:val="18"/>
              <w:szCs w:val="18"/>
            </w:rPr>
            <w:t>Tel</w:t>
          </w:r>
          <w:proofErr w:type="spellEnd"/>
          <w:r w:rsidRPr="008B64DD">
            <w:rPr>
              <w:rFonts w:cs="Calibri"/>
              <w:color w:val="000000"/>
              <w:sz w:val="18"/>
              <w:szCs w:val="18"/>
            </w:rPr>
            <w:t>: +55 63 3218-2563</w:t>
          </w:r>
        </w:p>
        <w:p w:rsidR="00EF1AE6" w:rsidRPr="008B64DD" w:rsidRDefault="00EF1AE6" w:rsidP="001020C8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color w:val="000000"/>
            </w:rPr>
          </w:pPr>
          <w:hyperlink r:id="rId2" w:history="1">
            <w:r w:rsidRPr="008B64DD">
              <w:rPr>
                <w:rFonts w:cs="Calibri"/>
                <w:color w:val="0000FF"/>
                <w:sz w:val="18"/>
                <w:szCs w:val="18"/>
                <w:u w:val="single"/>
              </w:rPr>
              <w:t>gabexecutivo@controladoria.to.gov.br</w:t>
            </w:r>
          </w:hyperlink>
          <w:r w:rsidRPr="008B64DD">
            <w:rPr>
              <w:rFonts w:cs="Calibri"/>
              <w:color w:val="000000"/>
              <w:sz w:val="18"/>
              <w:szCs w:val="18"/>
            </w:rPr>
            <w:t xml:space="preserve"> </w:t>
          </w:r>
        </w:p>
        <w:p w:rsidR="00EF1AE6" w:rsidRPr="008B64DD" w:rsidRDefault="00EF1AE6" w:rsidP="001020C8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color w:val="000000"/>
            </w:rPr>
          </w:pPr>
          <w:hyperlink r:id="rId3" w:history="1">
            <w:r w:rsidRPr="008B64DD">
              <w:rPr>
                <w:rFonts w:cs="Calibri"/>
                <w:color w:val="0000FF"/>
                <w:sz w:val="18"/>
                <w:szCs w:val="18"/>
                <w:u w:val="single"/>
              </w:rPr>
              <w:t>www.to.gov.br/cge</w:t>
            </w:r>
          </w:hyperlink>
        </w:p>
      </w:tc>
    </w:tr>
  </w:tbl>
  <w:p w:rsidR="00835F26" w:rsidRDefault="00835F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63E9"/>
    <w:multiLevelType w:val="multilevel"/>
    <w:tmpl w:val="7B90C9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9D41DA"/>
    <w:multiLevelType w:val="multilevel"/>
    <w:tmpl w:val="F5928C06"/>
    <w:lvl w:ilvl="0">
      <w:start w:val="1"/>
      <w:numFmt w:val="decimal"/>
      <w:lvlText w:val="%1."/>
      <w:lvlJc w:val="left"/>
      <w:pPr>
        <w:tabs>
          <w:tab w:val="num" w:pos="0"/>
        </w:tabs>
        <w:ind w:left="877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F26"/>
    <w:rsid w:val="00835F26"/>
    <w:rsid w:val="00E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A2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B0A2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3B0A2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qFormat/>
    <w:rsid w:val="003B0A26"/>
  </w:style>
  <w:style w:type="character" w:customStyle="1" w:styleId="LinkdaInternet">
    <w:name w:val="Link da Internet"/>
    <w:basedOn w:val="Fontepargpadro"/>
    <w:qFormat/>
    <w:rsid w:val="003B0A26"/>
    <w:rPr>
      <w:rFonts w:cs="Times New Roman"/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A66F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910F5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A910F5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Hyperlink">
    <w:name w:val="Hyperlink"/>
    <w:rPr>
      <w:color w:val="000080"/>
      <w:u w:val="single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Corpodetexto">
    <w:name w:val="Body Text"/>
    <w:basedOn w:val="Normal"/>
    <w:rsid w:val="00044357"/>
    <w:pPr>
      <w:spacing w:after="140" w:line="276" w:lineRule="auto"/>
    </w:pPr>
  </w:style>
  <w:style w:type="paragraph" w:styleId="Lista">
    <w:name w:val="List"/>
    <w:basedOn w:val="Corpodetexto"/>
    <w:rsid w:val="00044357"/>
    <w:rPr>
      <w:rFonts w:cs="Lohit Devanagari"/>
    </w:rPr>
  </w:style>
  <w:style w:type="paragraph" w:styleId="Legenda">
    <w:name w:val="caption"/>
    <w:basedOn w:val="Normal"/>
    <w:qFormat/>
    <w:rsid w:val="00044357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tulo">
    <w:name w:val="Title"/>
    <w:basedOn w:val="Normal"/>
    <w:next w:val="Corpodetexto"/>
    <w:qFormat/>
    <w:rsid w:val="0004435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ndice">
    <w:name w:val="Índice"/>
    <w:basedOn w:val="Normal"/>
    <w:qFormat/>
    <w:rsid w:val="00044357"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rsid w:val="003B0A2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B0A26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3B0A26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3B0A2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A66FB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rsid w:val="00044357"/>
    <w:pPr>
      <w:suppressLineNumbers/>
    </w:pPr>
  </w:style>
  <w:style w:type="paragraph" w:customStyle="1" w:styleId="Ttulodetabela">
    <w:name w:val="Título de tabela"/>
    <w:basedOn w:val="Contedodatabela"/>
    <w:qFormat/>
    <w:rsid w:val="00044357"/>
    <w:pPr>
      <w:jc w:val="center"/>
    </w:pPr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10F5"/>
    <w:rPr>
      <w:sz w:val="20"/>
      <w:szCs w:val="20"/>
    </w:rPr>
  </w:style>
  <w:style w:type="table" w:styleId="Tabelacomgrade">
    <w:name w:val="Table Grid"/>
    <w:basedOn w:val="Tabelanormal"/>
    <w:uiPriority w:val="59"/>
    <w:rsid w:val="003B0A26"/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ge.to.gov.br/manuai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.gov.br/cge" TargetMode="External"/><Relationship Id="rId2" Type="http://schemas.openxmlformats.org/officeDocument/2006/relationships/hyperlink" Target="mailto:gabexecutivo@controladoria.t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14A25-E988-47E8-9C7F-F905FA0A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</Pages>
  <Words>540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BURGEL DE CASTRO</dc:creator>
  <dc:description/>
  <cp:lastModifiedBy>AMANDA FELIX RIBEIRO</cp:lastModifiedBy>
  <cp:revision>43</cp:revision>
  <cp:lastPrinted>2017-05-24T16:19:00Z</cp:lastPrinted>
  <dcterms:created xsi:type="dcterms:W3CDTF">2017-05-22T17:37:00Z</dcterms:created>
  <dcterms:modified xsi:type="dcterms:W3CDTF">2021-08-30T19:05:00Z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