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55" w:rsidRDefault="00DA6D31" w:rsidP="00DA6D31">
      <w:pPr>
        <w:spacing w:after="101"/>
        <w:ind w:right="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Arial" w:hAnsi="Times New Roman" w:cs="Times New Roman"/>
          <w:b/>
          <w:sz w:val="20"/>
          <w:szCs w:val="20"/>
        </w:rPr>
        <w:t>CHECKLIST</w:t>
      </w:r>
      <w:proofErr w:type="spellEnd"/>
    </w:p>
    <w:p w:rsidR="009A1055" w:rsidRDefault="00DA6D31">
      <w:pPr>
        <w:spacing w:after="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9A1055" w:rsidRDefault="00DA6D31">
      <w:pPr>
        <w:spacing w:after="300"/>
        <w:ind w:right="6"/>
        <w:jc w:val="center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b/>
          <w:sz w:val="20"/>
          <w:szCs w:val="20"/>
          <w:u w:val="single" w:color="000000"/>
        </w:rPr>
        <w:t>Inexigibilidade de Licitação - Bens e Serviços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9A1055" w:rsidRDefault="009A1055">
      <w:pPr>
        <w:spacing w:after="300"/>
        <w:ind w:right="6"/>
        <w:jc w:val="center"/>
        <w:rPr>
          <w:rFonts w:ascii="Times New Roman" w:hAnsi="Times New Roman" w:cs="Times New Roman"/>
          <w:sz w:val="24"/>
          <w:szCs w:val="24"/>
        </w:rPr>
      </w:pPr>
    </w:p>
    <w:p w:rsidR="009A1055" w:rsidRDefault="00DA6D31">
      <w:pPr>
        <w:spacing w:after="29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Órgão/Entidade: ______________________________________________________________________________________ </w:t>
      </w:r>
    </w:p>
    <w:p w:rsidR="009A1055" w:rsidRDefault="00DA6D31">
      <w:pPr>
        <w:spacing w:after="97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Processo nº: __________________________________________________________________________________________ </w:t>
      </w:r>
    </w:p>
    <w:p w:rsidR="009A1055" w:rsidRDefault="00DA6D31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:rsidR="009A1055" w:rsidRDefault="00DA6D31">
      <w:pPr>
        <w:spacing w:after="0" w:line="362" w:lineRule="auto"/>
        <w:ind w:left="-5" w:hanging="1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>A Inexigibilidade da licitação</w:t>
      </w:r>
      <w:r>
        <w:rPr>
          <w:rFonts w:ascii="Times New Roman" w:eastAsia="Arial" w:hAnsi="Times New Roman" w:cs="Times New Roman"/>
          <w:sz w:val="18"/>
          <w:szCs w:val="18"/>
        </w:rPr>
        <w:t xml:space="preserve"> está prevista no art. 25 da Lei 8.666/93, que diz: “É inexigível a licitação quando houver inviabilidade de competição</w:t>
      </w:r>
      <w:r>
        <w:rPr>
          <w:rFonts w:ascii="Times New Roman" w:eastAsia="Arial" w:hAnsi="Times New Roman" w:cs="Times New Roman"/>
          <w:sz w:val="18"/>
          <w:szCs w:val="18"/>
        </w:rPr>
        <w:t>”. No dizer de Hely Lopes Meirelles “a licitação é inexigível em razão da impossibilidade jurídica de se instaurar competição entre eventuais interessados, pois não se pode pretender melhor proposta quando apenas um é proprietário do bem ensejado pelo Pode</w:t>
      </w:r>
      <w:r>
        <w:rPr>
          <w:rFonts w:ascii="Times New Roman" w:eastAsia="Arial" w:hAnsi="Times New Roman" w:cs="Times New Roman"/>
          <w:sz w:val="18"/>
          <w:szCs w:val="18"/>
        </w:rPr>
        <w:t xml:space="preserve">r Público, ou reconhecidamente capaz de atender às exigências da Administração no que concerne a realização do objeto do contrato”. </w:t>
      </w:r>
    </w:p>
    <w:p w:rsidR="009A1055" w:rsidRDefault="00DA6D31">
      <w:pPr>
        <w:spacing w:after="9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p w:rsidR="009A1055" w:rsidRDefault="00DA6D31">
      <w:pPr>
        <w:spacing w:after="0"/>
        <w:ind w:left="-5" w:hanging="10"/>
        <w:rPr>
          <w:rFonts w:ascii="Times New Roman" w:eastAsia="Arial" w:hAnsi="Times New Roman" w:cs="Times New Roman"/>
          <w:b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 xml:space="preserve">Legenda: S = Sim; N = Não; NA = Não se Aplica. </w:t>
      </w:r>
    </w:p>
    <w:p w:rsidR="009A1055" w:rsidRDefault="009A1055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41" w:rightFromText="141" w:vertAnchor="text" w:tblpX="68" w:tblpY="1"/>
        <w:tblW w:w="4990" w:type="pct"/>
        <w:tblInd w:w="0" w:type="dxa"/>
        <w:tblLayout w:type="fixed"/>
        <w:tblCellMar>
          <w:top w:w="6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6024"/>
        <w:gridCol w:w="29"/>
        <w:gridCol w:w="1388"/>
        <w:gridCol w:w="142"/>
        <w:gridCol w:w="851"/>
        <w:gridCol w:w="709"/>
      </w:tblGrid>
      <w:tr w:rsidR="009A1055">
        <w:trPr>
          <w:trHeight w:val="469"/>
        </w:trPr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40" w:lineRule="auto"/>
              <w:ind w:right="167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Exigências para Formalização de Procedimentos de</w:t>
            </w:r>
          </w:p>
          <w:p w:rsidR="009A1055" w:rsidRDefault="00DA6D31">
            <w:pPr>
              <w:widowControl w:val="0"/>
              <w:ind w:right="16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Inexigibilidade de Lici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tação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Responsável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S/N/NA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Folha</w:t>
            </w:r>
          </w:p>
        </w:tc>
      </w:tr>
      <w:tr w:rsidR="009A1055">
        <w:trPr>
          <w:trHeight w:val="523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SOLICITAÇÃO</w:t>
            </w:r>
          </w:p>
        </w:tc>
      </w:tr>
      <w:tr w:rsidR="009A1055">
        <w:trPr>
          <w:trHeight w:val="71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6"/>
              </w:numPr>
              <w:spacing w:after="0" w:line="276" w:lineRule="auto"/>
              <w:ind w:left="426" w:right="100" w:hanging="284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processo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foi devidamente autuado, protocolado e com numeração de folhas, constando carimbo do órgão e visto do responsável? E se houve apensamento de um novo volume, obedeceu a quantidade máxima de folhas, mediante termo de encerramento e de abertura? (art. 38,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ut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nº 8.666/93 e art. 49 do Decreto de execução orçamentário-financeira nº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61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6"/>
              </w:numPr>
              <w:spacing w:after="0" w:line="276" w:lineRule="auto"/>
              <w:ind w:left="426" w:right="100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memorando de solicitação do setor interessado, com a respectiva justificativa e autorização do Gestor? (art. 5º e 6º da Lei nº 9.784/99)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01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6"/>
              </w:numPr>
              <w:spacing w:after="0" w:line="276" w:lineRule="auto"/>
              <w:ind w:left="426" w:right="100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processo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contém a indicação do recurso próprio para a despesa? (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14 e 38,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caput,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2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6"/>
              </w:numPr>
              <w:spacing w:after="0" w:line="276" w:lineRule="auto"/>
              <w:ind w:left="426" w:right="100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objeto de despesa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foi devidamente caracterizado e detalhadamente especificado? (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14 e 38,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caput,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da Lei nº 8.666/93).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71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6"/>
              </w:numPr>
              <w:spacing w:after="0" w:line="276" w:lineRule="auto"/>
              <w:ind w:left="426" w:right="134" w:hanging="28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no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termo de referência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definido o objeto da contratação, os critérios de aceitação das propostas, inclusive com a fixação dos prazos e condições para fornecimento e aceitação? (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. 7º, 14, 15, § 7º da Lei nº 8.666/93 c/c art. 26 e 37 do Decreto Orçamentário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6.237/2021)</w:t>
            </w:r>
          </w:p>
          <w:p w:rsidR="009A1055" w:rsidRDefault="009A1055">
            <w:pPr>
              <w:pStyle w:val="PargrafodaLista"/>
              <w:widowControl w:val="0"/>
              <w:spacing w:line="276" w:lineRule="auto"/>
              <w:ind w:left="426" w:right="134" w:hanging="284"/>
              <w:jc w:val="both"/>
              <w:rPr>
                <w:rFonts w:ascii="Times New Roman" w:eastAsia="Arial" w:hAnsi="Times New Roman" w:cs="Times New Roman"/>
                <w:i/>
                <w:sz w:val="16"/>
                <w:szCs w:val="16"/>
              </w:rPr>
            </w:pPr>
          </w:p>
          <w:p w:rsidR="009A1055" w:rsidRDefault="00DA6D31">
            <w:pPr>
              <w:pStyle w:val="PargrafodaLista"/>
              <w:widowControl w:val="0"/>
              <w:spacing w:after="0" w:line="276" w:lineRule="auto"/>
              <w:ind w:left="426" w:right="100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Obs. 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específico para análise do Termo de Referência ou Projeto Básico, disponível no sítio desta Controladoria.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71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6"/>
              </w:numPr>
              <w:spacing w:after="0" w:line="276" w:lineRule="auto"/>
              <w:ind w:left="426" w:right="10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Termo de Referência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ou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Projeto Básico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foi aprovado pela autoridade competente? (art. 7, inc. I §1º da Lei nº 8.666/93, art. 37, parágrafo único do Decreto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de execução orçamentário-financeiro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nº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729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6"/>
              </w:numPr>
              <w:spacing w:after="0" w:line="276" w:lineRule="auto"/>
              <w:ind w:left="426" w:right="100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nos autos a justificativa/comprovação de que os preços estimados estão compa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tíveis com os praticados no mercado e no âmbito da Administração Pública? (art. 26, parágrafo único,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8.666/93).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1069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6"/>
              </w:numPr>
              <w:spacing w:after="0" w:line="276" w:lineRule="auto"/>
              <w:ind w:left="426" w:right="100" w:hanging="284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Em se tratando de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aquisição e locação de bens e serviços de Tecnologia da Informação e Comunicação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TIC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consta a prévia </w:t>
            </w: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aprovação da Agência de Tecnologia da Informação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ATI-TO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, na conformidade da legislação específica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conforme prevê a alínea “c”, inc. I do art. 12 do Decreto de execução orçamentário-financeira nº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34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76" w:lineRule="auto"/>
              <w:ind w:left="381" w:right="56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AUTORIZAÇÃO</w:t>
            </w:r>
          </w:p>
        </w:tc>
      </w:tr>
      <w:tr w:rsidR="009A1055">
        <w:trPr>
          <w:trHeight w:val="80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76" w:lineRule="auto"/>
              <w:ind w:left="426" w:right="57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Consta manifestação da liberação da despesa pelo Grupo Executivo para Gestão e Equilíbrio do Gasto Público? (art. 2º, § único do Decreto nº 5.842/18; art. 23,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e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do Decreto de execução orçamentário-financeira nº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80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76" w:lineRule="auto"/>
              <w:ind w:left="381" w:right="57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Detalham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ento da Dotação –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DD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e/ou declaração orçamentária, quando se tratar de recursos relativos ao exercício seguinte? (art. 23, inc. I do Decreto de execução orçamentário-financeira nº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nº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80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76" w:lineRule="auto"/>
              <w:ind w:left="381" w:right="57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Solicitação de Compras, com todos os campos preenchidos e devidamente autorizada pelos responsáveis? (art. 23, inc. II e art. 59, inc. II do Decreto de execução orçamentário-financeira nº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703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76" w:lineRule="auto"/>
              <w:ind w:left="381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estimativa do impacto orçamentário-financeiro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despesa no exercício em que deva entrar em vigor e nos dois exercícios seguintes? (art. 16, inc. I, da Lei Complementar n° 101/00)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9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76" w:lineRule="auto"/>
              <w:ind w:left="381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Existe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declaração do ordenador de despesa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que o gasto necessário à realização do procedimento licitatório e à consequente contratação tem adequação orçamentária e financeira com a LOA e compatibilidade com 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PPA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com a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LDO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? (art. 16, inc. II, da Lei Complementar n° 101/2000)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804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76" w:lineRule="auto"/>
              <w:ind w:left="381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A autoridade competente motivou nos termos do art. 50, inciso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n° 9.784/99 a sua declaração de inexigibilidade do processo licitatório? (art. 26 da Lei n° 8666/93)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3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76" w:lineRule="auto"/>
              <w:ind w:left="381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Há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demonstração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de enquadramento do caso concreto à previsão legal de inexigibilidade? (art. 25, da Lei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nº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8666/93)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267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4"/>
              </w:numPr>
              <w:spacing w:after="0" w:line="276" w:lineRule="auto"/>
              <w:ind w:left="381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No processo de inexigibilidade de licitação há no que couber, os seguintes elementos (art. 26, § único, Lei n° 8666/93):</w:t>
            </w:r>
          </w:p>
        </w:tc>
      </w:tr>
      <w:tr w:rsidR="009A1055">
        <w:trPr>
          <w:trHeight w:val="274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10"/>
              </w:numPr>
              <w:spacing w:after="0" w:line="276" w:lineRule="auto"/>
              <w:ind w:left="381" w:right="57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Razão da escolha do fornecedor ou executante?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276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10"/>
              </w:numPr>
              <w:spacing w:after="0" w:line="276" w:lineRule="auto"/>
              <w:ind w:left="381" w:right="57" w:hanging="28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Justificativa do preço?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5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10"/>
              </w:numPr>
              <w:spacing w:after="0" w:line="276" w:lineRule="auto"/>
              <w:ind w:left="381" w:right="5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Documento de aprovação dos projetos de pesquisa aos quais os bens serão alocados?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39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40" w:lineRule="auto"/>
              <w:ind w:right="52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SELEÇÃO/ESCOLHA</w:t>
            </w:r>
          </w:p>
        </w:tc>
      </w:tr>
      <w:tr w:rsidR="009A1055">
        <w:trPr>
          <w:trHeight w:val="416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3"/>
              </w:numPr>
              <w:spacing w:after="0" w:line="276" w:lineRule="auto"/>
              <w:ind w:left="38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Para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aquisição de materiais, equipamentos ou gêneros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u w:val="single" w:color="000000"/>
              </w:rPr>
              <w:t>fornecedor exclusivo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(art. 25, inc. I da Lei nº 8.666/93)</w:t>
            </w:r>
          </w:p>
        </w:tc>
      </w:tr>
      <w:tr w:rsidR="009A1055">
        <w:trPr>
          <w:trHeight w:val="434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11"/>
              </w:numPr>
              <w:spacing w:after="0" w:line="276" w:lineRule="auto"/>
              <w:ind w:left="381" w:right="55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Caso seja necessária a indicação de marca</w:t>
            </w:r>
            <w:r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1"/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especificações exclusivas, constam dos autos as correspondentes justificativas técnicas?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699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11"/>
              </w:numPr>
              <w:spacing w:after="0" w:line="276" w:lineRule="auto"/>
              <w:ind w:left="381" w:right="5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Declaração</w:t>
            </w:r>
            <w:r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2"/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condição de fornecedor exclusivo</w:t>
            </w:r>
            <w:r>
              <w:rPr>
                <w:rStyle w:val="ncoradanotaderodap"/>
                <w:rFonts w:ascii="Times New Roman" w:eastAsia="Arial" w:hAnsi="Times New Roman" w:cs="Times New Roman"/>
                <w:sz w:val="18"/>
                <w:szCs w:val="18"/>
              </w:rPr>
              <w:footnoteReference w:id="3"/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mediante atestado (ou certidão) emitido por Junta Comercial; Sindicato, Federação ou Confederação Patronal; ou entidades equivalentes?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8"/>
              </w:numPr>
              <w:tabs>
                <w:tab w:val="left" w:pos="0"/>
              </w:tabs>
              <w:spacing w:after="0" w:line="276" w:lineRule="auto"/>
              <w:ind w:left="426" w:hanging="426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Para contratação de prestação de serviços técnicos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de natureza singular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por profissionais ou empresas de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notória especialização: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(art. 13 e 25, inc. II da Lei nº 8.666/93)</w:t>
            </w:r>
          </w:p>
        </w:tc>
      </w:tr>
      <w:tr w:rsidR="009A1055">
        <w:trPr>
          <w:trHeight w:val="56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76" w:lineRule="auto"/>
              <w:ind w:left="381" w:right="87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 objeto da contratação enquadra nos serviços técnicos profissionais especializados, elencados no art. 13 da Lei nº 8.666/93?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9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76" w:lineRule="auto"/>
              <w:ind w:left="381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justificativa que o objeto da contratação apresenta serviços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natureza singular</w:t>
            </w:r>
            <w:r>
              <w:rPr>
                <w:rStyle w:val="ncoradanotaderodap"/>
                <w:rFonts w:ascii="Times New Roman" w:eastAsia="Arial" w:hAnsi="Times New Roman" w:cs="Times New Roman"/>
                <w:b/>
                <w:sz w:val="18"/>
                <w:szCs w:val="18"/>
              </w:rPr>
              <w:footnoteReference w:id="4"/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684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76" w:lineRule="auto"/>
              <w:ind w:left="381" w:right="7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comprovação de que o contratado detenha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habilitação técnica</w:t>
            </w:r>
            <w:r>
              <w:rPr>
                <w:rStyle w:val="ncoradanotaderodap"/>
                <w:rFonts w:ascii="Times New Roman" w:eastAsia="Arial" w:hAnsi="Times New Roman" w:cs="Times New Roman"/>
                <w:b/>
                <w:sz w:val="18"/>
                <w:szCs w:val="18"/>
              </w:rPr>
              <w:footnoteReference w:id="5"/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para a realização do objeto 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notória</w:t>
            </w:r>
            <w:r>
              <w:rPr>
                <w:rStyle w:val="ncoradanotaderodap"/>
                <w:rFonts w:ascii="Times New Roman" w:eastAsia="Arial" w:hAnsi="Times New Roman" w:cs="Times New Roman"/>
                <w:b/>
                <w:sz w:val="18"/>
                <w:szCs w:val="18"/>
              </w:rPr>
              <w:footnoteReference w:id="6"/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especialização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e que esteja intimamente relacionada com a singularidade do objeto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contratado?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779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76" w:lineRule="auto"/>
              <w:ind w:left="381" w:right="83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no contrato ou no ato convocatório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Cessão Direitos Patrimoniais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pelo autor à administração, re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lativos ao serviço técnico especializado, quando for o caso? (art. 111,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caput e § único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97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9"/>
              </w:numPr>
              <w:spacing w:after="0" w:line="276" w:lineRule="auto"/>
              <w:ind w:left="381" w:right="82" w:hanging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comprovação da realização do serviço técnico, pessoal e diretamente, pelos profissionais listados em relação de integrantes do corpo técnico da contratada apresentada como elemento de justificação da inexigibilidade, quando for o caso? (art. 13, § 3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º da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tabs>
                <w:tab w:val="left" w:pos="0"/>
              </w:tabs>
              <w:spacing w:after="0" w:line="276" w:lineRule="auto"/>
              <w:ind w:left="426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Para contratação de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profissionais do setor artístico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consagrado pela crítica especializada ou pela opinião pública: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(art. 25,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nº 8.666/93)</w:t>
            </w:r>
          </w:p>
        </w:tc>
      </w:tr>
      <w:tr w:rsidR="009A1055">
        <w:trPr>
          <w:trHeight w:val="416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widowControl w:val="0"/>
              <w:spacing w:after="0" w:line="276" w:lineRule="auto"/>
              <w:ind w:left="381" w:right="95" w:hanging="2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a) Consta a apresentação de curriculum acompanhado de documentos que atestem a consagração pela crítica e opinião púbica?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widowControl w:val="0"/>
              <w:spacing w:after="0" w:line="276" w:lineRule="auto"/>
              <w:ind w:left="381" w:right="95" w:hanging="2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b) Consta comprovação de exclusividade da empresa promotora ou do empresário para a contratação do artista?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0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1" w:right="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lastRenderedPageBreak/>
              <w:t xml:space="preserve">No processo de contratação, há em respeito ao Princípio da Moralidade Administrativa e por aplicação analógica dos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. 27 a 31, Lei nº 8.666/93: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3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widowControl w:val="0"/>
              <w:spacing w:after="0" w:line="276" w:lineRule="auto"/>
              <w:ind w:left="381" w:right="95" w:hanging="2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a)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Documentação relativa à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habilitação jurídica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do fornecedor ou executante nos moldes do art. 28, da Lei nº 8.666/93?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widowControl w:val="0"/>
              <w:spacing w:after="0" w:line="276" w:lineRule="auto"/>
              <w:ind w:left="381" w:right="95" w:hanging="2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b)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Documentação relativa à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qualificação técnica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nos moldes do art. 30, da Lei n° 8.666/93?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3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widowControl w:val="0"/>
              <w:spacing w:after="0" w:line="276" w:lineRule="auto"/>
              <w:ind w:left="381" w:right="95" w:hanging="29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c)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Documentos referentes à qualificação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econômico-financeira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na forma do art. 31, da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Lei n° 8.666/93?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141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widowControl w:val="0"/>
              <w:spacing w:after="22" w:line="276" w:lineRule="auto"/>
              <w:ind w:left="381" w:right="95" w:hanging="290"/>
              <w:jc w:val="both"/>
              <w:rPr>
                <w:lang w:val="en-US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d)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o comprovante de pesquisa, demonstrando que fora realizada a consulta no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SICAF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CADIN, nos moldes do art. 29, da Lei n° 8.6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66/93, assim como no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CEIS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CNCIA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para a verificação da inidoneidade da empresa ou da pessoa física consultada?  </w:t>
            </w:r>
            <w:hyperlink r:id="rId9" w:history="1">
              <w:r>
                <w:rPr>
                  <w:rStyle w:val="LinkdaInternet"/>
                  <w:rFonts w:ascii="Times New Roman" w:hAnsi="Times New Roman" w:cs="Times New Roman"/>
                  <w:sz w:val="18"/>
                  <w:szCs w:val="18"/>
                  <w:lang w:val="en-US"/>
                </w:rPr>
                <w:t>http://www.portaltransparencia.gov.br/sancoes/c</w:t>
              </w:r>
              <w:r>
                <w:rPr>
                  <w:rStyle w:val="LinkdaInternet"/>
                  <w:rFonts w:ascii="Times New Roman" w:hAnsi="Times New Roman" w:cs="Times New Roman"/>
                  <w:sz w:val="18"/>
                  <w:szCs w:val="18"/>
                  <w:lang w:val="en-US"/>
                </w:rPr>
                <w:t>eis?ordenarPor=nome&amp;direcao=asc</w:t>
              </w:r>
            </w:hyperlink>
            <w: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  <w:t xml:space="preserve">NOT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  <w:t>CGE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val="en-US"/>
              </w:rPr>
              <w:t xml:space="preserve"> nº 02/2015 www.cge.to.gov.br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A1055">
        <w:trPr>
          <w:trHeight w:val="80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widowControl w:val="0"/>
              <w:spacing w:after="0" w:line="276" w:lineRule="auto"/>
              <w:ind w:left="381" w:right="95" w:hanging="290"/>
              <w:jc w:val="both"/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e)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Foi exigido o cumprimento do disposto no art. 7°,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XXXIII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da Constituição Federal (proibição do trabalho infantil) como determina o art. 27, inc. V,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widowControl w:val="0"/>
              <w:spacing w:after="0" w:line="276" w:lineRule="auto"/>
              <w:ind w:left="381" w:hanging="3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f)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Verificar a autenticidade das certidões de Regularidades, fazendo busca nos respectivos sites.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8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1" w:right="54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minuta de termo de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os instrumentos hábeis a substitui-lo, nos casos permitidos pelo art. 62 da Lei nº 8.666/93?</w:t>
            </w:r>
          </w:p>
          <w:p w:rsidR="009A1055" w:rsidRDefault="00DA6D31">
            <w:pPr>
              <w:widowControl w:val="0"/>
              <w:spacing w:after="0" w:line="276" w:lineRule="auto"/>
              <w:ind w:left="381" w:right="5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Obs. 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6"/>
                <w:szCs w:val="16"/>
              </w:rPr>
              <w:t xml:space="preserve"> específico para Termo de Contrato, disponível no site desta Controladoria.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7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1" w:righ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 Assessoria Jurídica se manifestou especificamente sobre a possibilidade de inexigibilidade da licitação? (art. 38, inc. VI da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75"/>
        </w:trPr>
        <w:tc>
          <w:tcPr>
            <w:tcW w:w="6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spacing w:after="0" w:line="276" w:lineRule="auto"/>
              <w:ind w:left="142" w:right="61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a) Consta o envio e parecer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quando for o caso (art. 28,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inc. II, alínea 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Decreto de execução orçamentário-financeira nº 6.237/2021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75"/>
        </w:trPr>
        <w:tc>
          <w:tcPr>
            <w:tcW w:w="60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spacing w:after="0" w:line="276" w:lineRule="auto"/>
              <w:ind w:left="142" w:right="61"/>
              <w:jc w:val="both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b) Consta apreciação da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quando for o caso. (art. 28,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inc. II, alínea b,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Decreto de execução orçamentário-financeira nº 6.237/2021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227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A1055" w:rsidRDefault="00DA6D31">
            <w:pPr>
              <w:widowControl w:val="0"/>
              <w:spacing w:after="0" w:line="276" w:lineRule="auto"/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VALIDAÇÃO/RATIFICAÇÃO</w:t>
            </w:r>
          </w:p>
        </w:tc>
      </w:tr>
      <w:tr w:rsidR="009A1055">
        <w:trPr>
          <w:trHeight w:val="7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1" w:right="7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comprovantes da publicação da imprensa oficial do Ato de Ratificação da Inexigibilidade de Licitação? (art. 26, </w:t>
            </w: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caput,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da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99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76" w:lineRule="auto"/>
              <w:ind w:right="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FASE DE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CONTRATUALIZAÇÃO</w:t>
            </w:r>
            <w:proofErr w:type="spellEnd"/>
          </w:p>
        </w:tc>
      </w:tr>
      <w:tr w:rsidR="009A1055">
        <w:trPr>
          <w:trHeight w:val="803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1" w:right="58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autorizada a disponibilidade orçamentária para empenho da despesa em conformidade com o Anexo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, e a liberação da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Empenho - NE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que garanta as despesas previstas para o exercício corrente? (art. 6º, 11º e 12, inc. II, “a” do Decreto de execu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ção orçamentário-financeira nº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39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O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original do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(ou instrumento equivalente) foi assinado pelas partes, estando todas devidamente qualificadas? (art. 60,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869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54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extrato do contrato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ou de instrumento equivalente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(art. 62 da Lei n</w:t>
            </w:r>
            <w:r>
              <w:rPr>
                <w:rFonts w:ascii="Times New Roman" w:eastAsia="Arial" w:hAnsi="Times New Roman" w:cs="Times New Roman"/>
                <w:sz w:val="18"/>
                <w:szCs w:val="18"/>
                <w:vertAlign w:val="superscript"/>
              </w:rPr>
              <w:t>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8.666/93) foi publicado no Diário Oficial e seu comprovante foi anexado no processo? (art. 61, parágrafo único, da Lei nº 8.666/93;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CGE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/TO nº 01/2019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83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comprovante de envio, ao Tribunal de Contas do Estado, de cópia do ato de inexigibilidade? (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arts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. 8º e 10, IN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02/2008)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83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18" w:line="276" w:lineRule="auto"/>
              <w:ind w:left="383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Foram inseridas as informações do contrato no Sistema de Acompanhamento de Contratos (</w:t>
            </w:r>
            <w:hyperlink r:id="rId10" w:history="1">
              <w:r>
                <w:rPr>
                  <w:rStyle w:val="LinkdaInternet"/>
                  <w:rFonts w:ascii="Times New Roman" w:eastAsia="Arial" w:hAnsi="Times New Roman" w:cs="Times New Roman"/>
                  <w:color w:val="000000"/>
                  <w:sz w:val="18"/>
                  <w:szCs w:val="18"/>
                </w:rPr>
                <w:t>www.gestao.cge.to.gov.br</w:t>
              </w:r>
            </w:hyperlink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)? (art. 45,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IV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“c” do Decreto de execução orçamentário-financeira nº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7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7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Consta comprovante do lançamento do Termo do Contrato no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SICAP-LO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quando for o caso?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/TO nº 10/2008)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03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76" w:lineRule="auto"/>
              <w:ind w:right="5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EXECUÇÃO DO OBJETO</w:t>
            </w:r>
          </w:p>
        </w:tc>
      </w:tr>
      <w:tr w:rsidR="009A1055">
        <w:trPr>
          <w:trHeight w:val="542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a designação do fiscal do contrato e a publicação da mesma? (art. 67 Lei nº 8.666/93)</w:t>
            </w:r>
          </w:p>
          <w:p w:rsidR="009A1055" w:rsidRDefault="00DA6D31">
            <w:pPr>
              <w:widowControl w:val="0"/>
              <w:spacing w:after="0" w:line="276" w:lineRule="auto"/>
              <w:ind w:lef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Obs. Recomenda-se a utilização do </w:t>
            </w:r>
            <w:proofErr w:type="spellStart"/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>Checklist</w:t>
            </w:r>
            <w:proofErr w:type="spellEnd"/>
            <w:r>
              <w:rPr>
                <w:rFonts w:ascii="Times New Roman" w:eastAsia="Arial" w:hAnsi="Times New Roman" w:cs="Times New Roman"/>
                <w:i/>
                <w:sz w:val="18"/>
                <w:szCs w:val="18"/>
              </w:rPr>
              <w:t xml:space="preserve"> específico para fiscal de contrato, disponível no site desta Controladoria.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64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indicação do preposto da empresa, para representá-la na execução do contrato? (art. 68,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804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Foi designada comissão no mínimo 3 (três) membros, para recebimento dos materiais, quando o valor for superior ao limite da modalidade convite, bem como publicada portaria? (art. 15, § 8º,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69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ordem de início dos serviços emitida pela autoridade competente e recebida formalmente por representante da contratada, caso seja exigido no contrato, e sua publicação no DOE?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93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6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Há motivação expressa para paralisação dos serviços, e se os mesmos estão de acordo com o parágrafo único, art. 8º, Lei nº 8.666/93?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Constam respectivas ordens de paralisação e reinício dos serviços, devidamente publicadas no DOE?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Constam as requisições/solicitações de entrega dos bens ou execução dos serviços, quando for o caso?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00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76" w:lineRule="auto"/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FISCALIZAÇÃO</w:t>
            </w:r>
          </w:p>
        </w:tc>
      </w:tr>
      <w:tr w:rsidR="009A1055">
        <w:trPr>
          <w:trHeight w:val="734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63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Constam os registros do fiscal de contrato ou relatório circunstanciado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quanto o acompanhamento da execução do contrato? (art. 67, § 1º,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80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o atesto do fiscal de contrato no recebimento do objeto, observando o que dispõe o termo de contrato/empenho? (art. 67, § 1º e §2º da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00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76" w:lineRule="auto"/>
              <w:ind w:right="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LIQUIDAÇÃO</w:t>
            </w:r>
          </w:p>
        </w:tc>
      </w:tr>
      <w:tr w:rsidR="009A1055">
        <w:trPr>
          <w:trHeight w:val="804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Consta termo circunstanciado de recebimento dos bens materiais ou patrimoniais, emitido pela comissão designada para recebimento? (art. 73, inc. II,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83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Fiscal – NF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, devidamente atestada? (art. 15, § 8º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38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Nota de Liquidação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NL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,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com a descrição clara e sucinta do ato realizado? (art. 11 do Decreto de execução orçamentário-financeira nº 6.237/2021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1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Os bens patrimoniais adquiridos foram devidamente tombados? (art. 18 do Decreto Orçamentário nº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76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02"/>
        </w:trPr>
        <w:tc>
          <w:tcPr>
            <w:tcW w:w="91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A1055" w:rsidRDefault="00DA6D31">
            <w:pPr>
              <w:widowControl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FASE DE PAGAMENTO</w:t>
            </w:r>
          </w:p>
        </w:tc>
      </w:tr>
      <w:tr w:rsidR="009A1055">
        <w:trPr>
          <w:trHeight w:val="805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58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>As certidões de regularidade fiscal e trabalhista estão devidamente atualizadas e verificadas a sua autenticidade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nos respectivos sites? (art. 55,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Lei nº 8.666/93)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397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Programa de Desembolso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–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PD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?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(art. 64, da Lei nº 4.320/64)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489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57"/>
              <w:jc w:val="both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Consta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autorização de pagamento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devidamente preenchida e assinada pela autoridade competente e pelo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Grupo Executivo,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quando for o caso?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(art. 61,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III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e art. 25 do Decreto Orçamentário nº 6.237/2021)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eastAsia="Arial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Está sendo retido o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ISSQN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ou consta comprovante de recolhimento? (art. 52 do Decreto de execução orçamentário-financeira nº 6.237//2021)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</w:t>
            </w:r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Ordem bancária –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>OB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18"/>
                <w:szCs w:val="18"/>
              </w:rPr>
              <w:t xml:space="preserve"> e Ordem Bancária Externa – RE</w:t>
            </w:r>
            <w:r>
              <w:rPr>
                <w:rFonts w:ascii="Times New Roman" w:eastAsia="Arial" w:hAnsi="Times New Roman" w:cs="Times New Roman"/>
                <w:sz w:val="18"/>
                <w:szCs w:val="18"/>
              </w:rPr>
              <w:t>? (art. 64, parágrafo único, Lei nº 4.320/64)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33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 w:right="5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termo de encerramento do processo, encaminhando o mesmo para arquivamento? (art. 2º, inc.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XVI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da IN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CGE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005/2014)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540"/>
        </w:trPr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DA6D31">
            <w:pPr>
              <w:pStyle w:val="PargrafodaLista"/>
              <w:widowControl w:val="0"/>
              <w:numPr>
                <w:ilvl w:val="0"/>
                <w:numId w:val="5"/>
              </w:numPr>
              <w:spacing w:after="0" w:line="276" w:lineRule="auto"/>
              <w:ind w:left="383"/>
              <w:jc w:val="both"/>
            </w:pPr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Consta termo de arquivamento do processo? (art. 23, IN </w:t>
            </w:r>
            <w:proofErr w:type="spellStart"/>
            <w:r>
              <w:rPr>
                <w:rFonts w:ascii="Times New Roman" w:eastAsia="Arial" w:hAnsi="Times New Roman" w:cs="Times New Roman"/>
                <w:sz w:val="18"/>
                <w:szCs w:val="18"/>
              </w:rPr>
              <w:t>CGE</w:t>
            </w:r>
            <w:proofErr w:type="spellEnd"/>
            <w:r>
              <w:rPr>
                <w:rFonts w:ascii="Times New Roman" w:eastAsia="Arial" w:hAnsi="Times New Roman" w:cs="Times New Roman"/>
                <w:sz w:val="18"/>
                <w:szCs w:val="18"/>
              </w:rPr>
              <w:t xml:space="preserve"> nº 005/2014)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ind w:left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A1055" w:rsidRDefault="009A1055">
      <w:pPr>
        <w:spacing w:after="96"/>
        <w:rPr>
          <w:rFonts w:ascii="Times New Roman" w:eastAsia="Arial" w:hAnsi="Times New Roman" w:cs="Times New Roman"/>
          <w:sz w:val="18"/>
          <w:szCs w:val="18"/>
        </w:rPr>
      </w:pPr>
    </w:p>
    <w:p w:rsidR="009A1055" w:rsidRDefault="00DA6D31">
      <w:pPr>
        <w:spacing w:after="0"/>
        <w:ind w:left="-5" w:hanging="1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 xml:space="preserve">Apontamentos: </w:t>
      </w:r>
    </w:p>
    <w:tbl>
      <w:tblPr>
        <w:tblStyle w:val="TableGrid"/>
        <w:tblW w:w="9139" w:type="dxa"/>
        <w:tblInd w:w="108" w:type="dxa"/>
        <w:tblLayout w:type="fixed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39"/>
      </w:tblGrid>
      <w:tr w:rsidR="009A1055">
        <w:trPr>
          <w:trHeight w:val="366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366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366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055">
        <w:trPr>
          <w:trHeight w:val="366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  <w:tr w:rsidR="009A1055">
        <w:trPr>
          <w:trHeight w:val="366"/>
        </w:trPr>
        <w:tc>
          <w:tcPr>
            <w:tcW w:w="9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1055" w:rsidRDefault="009A1055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sz w:val="18"/>
                <w:szCs w:val="18"/>
              </w:rPr>
            </w:pPr>
          </w:p>
        </w:tc>
      </w:tr>
    </w:tbl>
    <w:p w:rsidR="009A1055" w:rsidRDefault="00DA6D31">
      <w:pPr>
        <w:spacing w:after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Arial" w:hAnsi="Times New Roman" w:cs="Times New Roman"/>
          <w:b/>
          <w:sz w:val="18"/>
          <w:szCs w:val="18"/>
        </w:rPr>
        <w:t xml:space="preserve"> </w:t>
      </w:r>
    </w:p>
    <w:p w:rsidR="009A1055" w:rsidRDefault="00DA6D31">
      <w:pPr>
        <w:tabs>
          <w:tab w:val="center" w:pos="1997"/>
          <w:tab w:val="center" w:pos="4757"/>
          <w:tab w:val="center" w:pos="7294"/>
        </w:tabs>
        <w:spacing w:after="0"/>
        <w:jc w:val="center"/>
      </w:pPr>
      <w:r>
        <w:rPr>
          <w:rFonts w:ascii="Times New Roman" w:eastAsia="Arial" w:hAnsi="Times New Roman" w:cs="Times New Roman"/>
          <w:b/>
          <w:sz w:val="18"/>
          <w:szCs w:val="18"/>
        </w:rPr>
        <w:t>Assinatura e Matrícula do Servidor</w:t>
      </w:r>
      <w:r>
        <w:rPr>
          <w:rFonts w:ascii="Times New Roman" w:eastAsia="Arial" w:hAnsi="Times New Roman" w:cs="Times New Roman"/>
          <w:sz w:val="18"/>
          <w:szCs w:val="18"/>
        </w:rPr>
        <w:t xml:space="preserve"> </w:t>
      </w:r>
    </w:p>
    <w:sectPr w:rsidR="009A1055">
      <w:headerReference w:type="default" r:id="rId11"/>
      <w:pgSz w:w="11906" w:h="16838"/>
      <w:pgMar w:top="618" w:right="1128" w:bottom="1418" w:left="1701" w:header="561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6D31">
      <w:pPr>
        <w:spacing w:after="0" w:line="240" w:lineRule="auto"/>
      </w:pPr>
      <w:r>
        <w:separator/>
      </w:r>
    </w:p>
  </w:endnote>
  <w:endnote w:type="continuationSeparator" w:id="0">
    <w:p w:rsidR="00000000" w:rsidRDefault="00DA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variable"/>
  </w:font>
  <w:font w:name="Source Han Sans CN">
    <w:charset w:val="00"/>
    <w:family w:val="auto"/>
    <w:pitch w:val="default"/>
  </w:font>
  <w:font w:name="Noto Sans Devanagar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6D31">
      <w:pPr>
        <w:spacing w:after="0" w:line="240" w:lineRule="auto"/>
      </w:pPr>
      <w:r>
        <w:separator/>
      </w:r>
    </w:p>
  </w:footnote>
  <w:footnote w:type="continuationSeparator" w:id="0">
    <w:p w:rsidR="00000000" w:rsidRDefault="00DA6D31">
      <w:pPr>
        <w:spacing w:after="0" w:line="240" w:lineRule="auto"/>
      </w:pPr>
      <w:r>
        <w:continuationSeparator/>
      </w:r>
    </w:p>
  </w:footnote>
  <w:footnote w:id="1">
    <w:p w:rsidR="009A1055" w:rsidRDefault="00DA6D31">
      <w:pPr>
        <w:pStyle w:val="Textodenotaderodap"/>
        <w:widowControl w:val="0"/>
        <w:jc w:val="both"/>
        <w:rPr>
          <w:rFonts w:ascii="Times New Roman" w:eastAsia="Arial" w:hAnsi="Times New Roman" w:cs="Times New Roman"/>
          <w:sz w:val="16"/>
          <w:szCs w:val="16"/>
        </w:rPr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 xml:space="preserve">É vedado a preferência de marca, admite-se a indicação de marca no caso de padronização, devendo, todavia, neste caso, ser demonstrada as vantagens técnicas, econômicas e administrativas de sua </w:t>
      </w:r>
      <w:r>
        <w:rPr>
          <w:rFonts w:ascii="Times New Roman" w:eastAsia="Arial" w:hAnsi="Times New Roman" w:cs="Times New Roman"/>
          <w:sz w:val="16"/>
          <w:szCs w:val="16"/>
        </w:rPr>
        <w:t>escolha através de atestado</w:t>
      </w:r>
    </w:p>
    <w:p w:rsidR="009A1055" w:rsidRDefault="009A1055">
      <w:pPr>
        <w:pStyle w:val="Textodenotaderodap"/>
        <w:widowControl w:val="0"/>
        <w:jc w:val="both"/>
      </w:pPr>
    </w:p>
  </w:footnote>
  <w:footnote w:id="2">
    <w:p w:rsidR="009A1055" w:rsidRDefault="00DA6D31">
      <w:pPr>
        <w:pStyle w:val="Textodenotaderodap"/>
        <w:widowControl w:val="0"/>
        <w:jc w:val="both"/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Quando a empresa produz o periódico e somente essa o comercializa, é suficiente a declaração da empresa informando que seu produto tem os direitos autorais registrados e que não tem nenhum representante ou fornecedor, realiza</w:t>
      </w:r>
      <w:r>
        <w:rPr>
          <w:rFonts w:ascii="Times New Roman" w:eastAsia="Arial" w:hAnsi="Times New Roman" w:cs="Times New Roman"/>
          <w:sz w:val="16"/>
          <w:szCs w:val="16"/>
        </w:rPr>
        <w:t>ndo diretamente a comercialização</w:t>
      </w:r>
    </w:p>
  </w:footnote>
  <w:footnote w:id="3">
    <w:p w:rsidR="009A1055" w:rsidRDefault="009A1055">
      <w:pPr>
        <w:pStyle w:val="Textodenotaderodap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9A1055" w:rsidRDefault="00DA6D31">
      <w:pPr>
        <w:pStyle w:val="Textodenotaderodap"/>
        <w:widowControl w:val="0"/>
        <w:jc w:val="both"/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A exclusividade pode ser analisada conforme o valor da compra enquadrado na modalidade de licitação: até o limite máximo para convite, em âmbito local (município) e a para outras modalidades deve levar em conta o universo que será atingido com a publicidad</w:t>
      </w:r>
      <w:r>
        <w:rPr>
          <w:rFonts w:ascii="Times New Roman" w:eastAsia="Arial" w:hAnsi="Times New Roman" w:cs="Times New Roman"/>
          <w:sz w:val="16"/>
          <w:szCs w:val="16"/>
        </w:rPr>
        <w:t>e (art. 21 da Lei nº 8.666/93)</w:t>
      </w:r>
    </w:p>
  </w:footnote>
  <w:footnote w:id="4">
    <w:p w:rsidR="009A1055" w:rsidRDefault="009A1055">
      <w:pPr>
        <w:pStyle w:val="Textodenotaderodap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9A1055" w:rsidRDefault="00DA6D31">
      <w:pPr>
        <w:pStyle w:val="Textodenotaderodap"/>
        <w:widowControl w:val="0"/>
        <w:jc w:val="both"/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 xml:space="preserve">Serviços de natureza singular se diferenciam porque seu desempenho específicos e peculiares, que exigem não apenas a </w:t>
      </w:r>
      <w:proofErr w:type="spellStart"/>
      <w:r>
        <w:rPr>
          <w:rFonts w:ascii="Times New Roman" w:eastAsia="Arial" w:hAnsi="Times New Roman" w:cs="Times New Roman"/>
          <w:sz w:val="16"/>
          <w:szCs w:val="16"/>
        </w:rPr>
        <w:t>profissionalidade</w:t>
      </w:r>
      <w:proofErr w:type="spellEnd"/>
      <w:r>
        <w:rPr>
          <w:rFonts w:ascii="Times New Roman" w:eastAsia="Arial" w:hAnsi="Times New Roman" w:cs="Times New Roman"/>
          <w:sz w:val="16"/>
          <w:szCs w:val="16"/>
        </w:rPr>
        <w:t>, mas também a especialização. Deve ser entendida como uma característica especial de al</w:t>
      </w:r>
      <w:r>
        <w:rPr>
          <w:rFonts w:ascii="Times New Roman" w:eastAsia="Arial" w:hAnsi="Times New Roman" w:cs="Times New Roman"/>
          <w:sz w:val="16"/>
          <w:szCs w:val="16"/>
        </w:rPr>
        <w:t xml:space="preserve">gumas contratações de serviços técnicos profissionais especializados. Se caracteriza como uma situação anômala, incomum, impossível de ser enfrentada satisfatoriamente por tudo e qualquer profissional especializado. Singular é a natureza do serviço, não o </w:t>
      </w:r>
      <w:r>
        <w:rPr>
          <w:rFonts w:ascii="Times New Roman" w:eastAsia="Arial" w:hAnsi="Times New Roman" w:cs="Times New Roman"/>
          <w:sz w:val="16"/>
          <w:szCs w:val="16"/>
        </w:rPr>
        <w:t>número de pessoas capacitadas a executá-lo.  Singularidade é do objeto do contrato; é do serviço pretendido pela Administração, e não o executor do serviço. Todo profissional é singular, posto que esse atributo é próprio da natureza humana</w:t>
      </w:r>
    </w:p>
  </w:footnote>
  <w:footnote w:id="5">
    <w:p w:rsidR="009A1055" w:rsidRDefault="009A1055">
      <w:pPr>
        <w:pStyle w:val="Textodenotaderodap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9A1055" w:rsidRDefault="00DA6D31">
      <w:pPr>
        <w:pStyle w:val="Textodenotaderodap"/>
        <w:widowControl w:val="0"/>
        <w:jc w:val="both"/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A Habilitação</w:t>
      </w:r>
      <w:r>
        <w:rPr>
          <w:rFonts w:ascii="Times New Roman" w:eastAsia="Arial" w:hAnsi="Times New Roman" w:cs="Times New Roman"/>
          <w:sz w:val="16"/>
          <w:szCs w:val="16"/>
        </w:rPr>
        <w:t xml:space="preserve"> constitui a capacidade legal para a realização de determinado serviço. Necessita ser demonstrada e poderá consistir na exibição de registro junto ao órgão da administração pública, do diploma, ou qualquer outra forma admitida por lei</w:t>
      </w:r>
    </w:p>
  </w:footnote>
  <w:footnote w:id="6">
    <w:p w:rsidR="009A1055" w:rsidRDefault="009A1055">
      <w:pPr>
        <w:pStyle w:val="Textodenotaderodap"/>
        <w:widowControl w:val="0"/>
        <w:jc w:val="both"/>
        <w:rPr>
          <w:rFonts w:ascii="Times New Roman" w:hAnsi="Times New Roman" w:cs="Times New Roman"/>
          <w:sz w:val="16"/>
          <w:szCs w:val="16"/>
        </w:rPr>
      </w:pPr>
    </w:p>
    <w:p w:rsidR="009A1055" w:rsidRDefault="00DA6D31">
      <w:pPr>
        <w:pStyle w:val="Textodenotaderodap"/>
        <w:widowControl w:val="0"/>
        <w:jc w:val="both"/>
      </w:pPr>
      <w:r>
        <w:rPr>
          <w:rStyle w:val="Caracteresdenotaderodap"/>
        </w:rPr>
        <w:footnoteRef/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Arial" w:hAnsi="Times New Roman" w:cs="Times New Roman"/>
          <w:sz w:val="16"/>
          <w:szCs w:val="16"/>
        </w:rPr>
        <w:t>Consoante o § 1º d</w:t>
      </w:r>
      <w:r>
        <w:rPr>
          <w:rFonts w:ascii="Times New Roman" w:eastAsia="Arial" w:hAnsi="Times New Roman" w:cs="Times New Roman"/>
          <w:sz w:val="16"/>
          <w:szCs w:val="16"/>
        </w:rPr>
        <w:t xml:space="preserve">o citado art. 25, considera-se de notória especialização o profissional ou empresa cujo conceito no campo de sua especialidade, decorrente de desempenho anterior, estudos, experiências, publicações, organização, aparelhamento, equipe técnica, ou de outros </w:t>
      </w:r>
      <w:r>
        <w:rPr>
          <w:rFonts w:ascii="Times New Roman" w:eastAsia="Arial" w:hAnsi="Times New Roman" w:cs="Times New Roman"/>
          <w:sz w:val="16"/>
          <w:szCs w:val="16"/>
        </w:rPr>
        <w:t>requisitos relacionados com suas atividades, permita inferir que o seu trabalho é essencial e indiscutivelmente o mais adequado à pela satisfação do objeto do contrato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9A1055">
      <w:tc>
        <w:tcPr>
          <w:tcW w:w="5387" w:type="dxa"/>
        </w:tcPr>
        <w:p w:rsidR="009A1055" w:rsidRDefault="00DA6D31">
          <w:pPr>
            <w:pStyle w:val="Cabealho"/>
            <w:ind w:left="34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-406400</wp:posOffset>
                </wp:positionH>
                <wp:positionV relativeFrom="margin">
                  <wp:posOffset>97155</wp:posOffset>
                </wp:positionV>
                <wp:extent cx="3369310" cy="532130"/>
                <wp:effectExtent l="19050" t="0" r="3175" b="0"/>
                <wp:wrapSquare wrapText="bothSides"/>
                <wp:docPr id="1" name="Imagem 1" descr="NOVA LOGO C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9310" cy="532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</w:tcPr>
        <w:p w:rsidR="009A1055" w:rsidRDefault="009A1055">
          <w:pPr>
            <w:pStyle w:val="Cabealho"/>
            <w:rPr>
              <w:rFonts w:eastAsia="Times New Roman"/>
              <w:bCs/>
              <w:sz w:val="18"/>
              <w:szCs w:val="18"/>
            </w:rPr>
          </w:pPr>
        </w:p>
        <w:p w:rsidR="009A1055" w:rsidRDefault="00DA6D31">
          <w:pPr>
            <w:pStyle w:val="Cabealho1"/>
            <w:ind w:left="373" w:hanging="339"/>
            <w:rPr>
              <w:rFonts w:eastAsia="Times New Roman"/>
              <w:bCs/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>Praça dos Girassóis, Esplanada das Secretarias</w:t>
          </w:r>
        </w:p>
        <w:p w:rsidR="009A1055" w:rsidRDefault="00DA6D31">
          <w:pPr>
            <w:pStyle w:val="Cabealho1"/>
            <w:ind w:left="373" w:hanging="339"/>
            <w:rPr>
              <w:sz w:val="18"/>
              <w:szCs w:val="18"/>
            </w:rPr>
          </w:pPr>
          <w:r>
            <w:rPr>
              <w:rFonts w:eastAsia="Times New Roman"/>
              <w:bCs/>
              <w:sz w:val="18"/>
              <w:szCs w:val="18"/>
            </w:rPr>
            <w:t>Av. NS-2, Prédio I, S/N, Plano Diretor Norte</w:t>
          </w:r>
          <w:r>
            <w:rPr>
              <w:sz w:val="18"/>
              <w:szCs w:val="18"/>
            </w:rPr>
            <w:t xml:space="preserve"> </w:t>
          </w:r>
        </w:p>
        <w:p w:rsidR="009A1055" w:rsidRDefault="00DA6D31">
          <w:pPr>
            <w:pStyle w:val="Cabealho1"/>
            <w:ind w:left="373" w:hanging="339"/>
            <w:rPr>
              <w:sz w:val="18"/>
              <w:szCs w:val="18"/>
            </w:rPr>
          </w:pPr>
          <w:r>
            <w:rPr>
              <w:sz w:val="18"/>
              <w:szCs w:val="18"/>
            </w:rPr>
            <w:t>Palmas – Tocantins – CEP: 77.001-002</w:t>
          </w:r>
        </w:p>
        <w:p w:rsidR="009A1055" w:rsidRDefault="00DA6D31">
          <w:pPr>
            <w:pStyle w:val="Cabealho1"/>
            <w:ind w:left="373" w:hanging="339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Tel</w:t>
          </w:r>
          <w:proofErr w:type="spellEnd"/>
          <w:r>
            <w:rPr>
              <w:sz w:val="18"/>
              <w:szCs w:val="18"/>
            </w:rPr>
            <w:t>: +55 63 3218-2563</w:t>
          </w:r>
        </w:p>
        <w:p w:rsidR="009A1055" w:rsidRDefault="00DA6D31">
          <w:pPr>
            <w:pStyle w:val="Cabealho1"/>
            <w:ind w:left="373" w:hanging="339"/>
            <w:rPr>
              <w:sz w:val="18"/>
              <w:szCs w:val="18"/>
            </w:rPr>
          </w:pPr>
          <w:hyperlink r:id="rId2" w:history="1">
            <w:r>
              <w:rPr>
                <w:rStyle w:val="Hyperlink"/>
                <w:sz w:val="18"/>
                <w:szCs w:val="18"/>
              </w:rPr>
              <w:t>gabexecutivo@controladoria.to.gov.br</w:t>
            </w:r>
          </w:hyperlink>
          <w:r>
            <w:rPr>
              <w:sz w:val="18"/>
              <w:szCs w:val="18"/>
            </w:rPr>
            <w:t xml:space="preserve"> </w:t>
          </w:r>
        </w:p>
        <w:p w:rsidR="009A1055" w:rsidRDefault="00DA6D31">
          <w:pPr>
            <w:pStyle w:val="Cabealho"/>
          </w:pPr>
          <w:hyperlink r:id="rId3" w:history="1">
            <w:r>
              <w:rPr>
                <w:rStyle w:val="Hyperlink"/>
                <w:sz w:val="18"/>
                <w:szCs w:val="18"/>
              </w:rPr>
              <w:t>www.to.gov.br/cge</w:t>
            </w:r>
          </w:hyperlink>
          <w:r>
            <w:t xml:space="preserve"> </w:t>
          </w:r>
        </w:p>
      </w:tc>
    </w:tr>
  </w:tbl>
  <w:p w:rsidR="009A1055" w:rsidRDefault="009A10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D5"/>
    <w:multiLevelType w:val="multilevel"/>
    <w:tmpl w:val="23FE2F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205481"/>
    <w:multiLevelType w:val="multilevel"/>
    <w:tmpl w:val="485EAB88"/>
    <w:lvl w:ilvl="0">
      <w:start w:val="1"/>
      <w:numFmt w:val="lowerLetter"/>
      <w:lvlText w:val="%1)"/>
      <w:lvlJc w:val="left"/>
      <w:pPr>
        <w:tabs>
          <w:tab w:val="num" w:pos="0"/>
        </w:tabs>
        <w:ind w:left="1118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3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9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5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78" w:hanging="180"/>
      </w:pPr>
    </w:lvl>
  </w:abstractNum>
  <w:abstractNum w:abstractNumId="2">
    <w:nsid w:val="07AD2300"/>
    <w:multiLevelType w:val="multilevel"/>
    <w:tmpl w:val="E6BC46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19E81FED"/>
    <w:multiLevelType w:val="multilevel"/>
    <w:tmpl w:val="DF7AEC54"/>
    <w:lvl w:ilvl="0">
      <w:start w:val="19"/>
      <w:numFmt w:val="decimal"/>
      <w:lvlText w:val="%1."/>
      <w:lvlJc w:val="left"/>
      <w:pPr>
        <w:tabs>
          <w:tab w:val="num" w:pos="0"/>
        </w:tabs>
        <w:ind w:left="1128" w:hanging="360"/>
      </w:pPr>
      <w:rPr>
        <w:rFonts w:ascii="Times New Roman" w:hAnsi="Times New Roman" w:cs="Arial" w:hint="default"/>
        <w:b/>
        <w:sz w:val="18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>
    <w:nsid w:val="1E15469E"/>
    <w:multiLevelType w:val="multilevel"/>
    <w:tmpl w:val="B55283B4"/>
    <w:lvl w:ilvl="0">
      <w:start w:val="1"/>
      <w:numFmt w:val="lowerLetter"/>
      <w:lvlText w:val="%1)"/>
      <w:lvlJc w:val="left"/>
      <w:pPr>
        <w:tabs>
          <w:tab w:val="num" w:pos="0"/>
        </w:tabs>
        <w:ind w:left="625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85" w:hanging="180"/>
      </w:pPr>
    </w:lvl>
  </w:abstractNum>
  <w:abstractNum w:abstractNumId="5">
    <w:nsid w:val="226D6790"/>
    <w:multiLevelType w:val="multilevel"/>
    <w:tmpl w:val="79D6A59E"/>
    <w:lvl w:ilvl="0">
      <w:start w:val="1"/>
      <w:numFmt w:val="lowerLetter"/>
      <w:lvlText w:val="%1)"/>
      <w:lvlJc w:val="left"/>
      <w:pPr>
        <w:tabs>
          <w:tab w:val="num" w:pos="0"/>
        </w:tabs>
        <w:ind w:left="1128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88" w:hanging="180"/>
      </w:pPr>
    </w:lvl>
  </w:abstractNum>
  <w:abstractNum w:abstractNumId="6">
    <w:nsid w:val="388A5280"/>
    <w:multiLevelType w:val="multilevel"/>
    <w:tmpl w:val="A1665F9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3BB8345E"/>
    <w:multiLevelType w:val="multilevel"/>
    <w:tmpl w:val="81C61698"/>
    <w:lvl w:ilvl="0">
      <w:start w:val="9"/>
      <w:numFmt w:val="decimal"/>
      <w:lvlText w:val="%1."/>
      <w:lvlJc w:val="left"/>
      <w:pPr>
        <w:tabs>
          <w:tab w:val="num" w:pos="0"/>
        </w:tabs>
        <w:ind w:left="625" w:hanging="360"/>
      </w:pPr>
      <w:rPr>
        <w:rFonts w:ascii="Times New Roman" w:eastAsia="Arial" w:hAnsi="Times New Roman" w:cs="Times New Roman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85" w:hanging="180"/>
      </w:pPr>
    </w:lvl>
  </w:abstractNum>
  <w:abstractNum w:abstractNumId="8">
    <w:nsid w:val="4912076C"/>
    <w:multiLevelType w:val="multilevel"/>
    <w:tmpl w:val="DCD2E8B2"/>
    <w:lvl w:ilvl="0">
      <w:start w:val="17"/>
      <w:numFmt w:val="decimal"/>
      <w:lvlText w:val="%1."/>
      <w:lvlJc w:val="left"/>
      <w:pPr>
        <w:tabs>
          <w:tab w:val="num" w:pos="0"/>
        </w:tabs>
        <w:ind w:left="625" w:hanging="360"/>
      </w:pPr>
      <w:rPr>
        <w:rFonts w:ascii="Times New Roman" w:hAnsi="Times New Roman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615D6D0B"/>
    <w:multiLevelType w:val="multilevel"/>
    <w:tmpl w:val="FCE68F8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72EC266A"/>
    <w:multiLevelType w:val="multilevel"/>
    <w:tmpl w:val="F9BC3FF6"/>
    <w:lvl w:ilvl="0">
      <w:start w:val="18"/>
      <w:numFmt w:val="decimal"/>
      <w:lvlText w:val="%1."/>
      <w:lvlJc w:val="left"/>
      <w:pPr>
        <w:tabs>
          <w:tab w:val="num" w:pos="0"/>
        </w:tabs>
        <w:ind w:left="1118" w:hanging="360"/>
      </w:pPr>
      <w:rPr>
        <w:rFonts w:hint="default"/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trackedChanges" w:enforcement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55"/>
    <w:rsid w:val="001D5B2E"/>
    <w:rsid w:val="009A1055"/>
    <w:rsid w:val="00DA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color w:val="000000"/>
    </w:rPr>
  </w:style>
  <w:style w:type="character" w:customStyle="1" w:styleId="TextodenotaderodapChar">
    <w:name w:val="Texto de nota de rodapé Char"/>
    <w:basedOn w:val="Fontepargpadro"/>
    <w:semiHidden/>
    <w:qFormat/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nkdaInternet">
    <w:name w:val="Link da Internet"/>
    <w:basedOn w:val="Fontepargpadro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semiHidden/>
    <w:qFormat/>
    <w:rPr>
      <w:rFonts w:ascii="Calibri" w:eastAsia="Calibri" w:hAnsi="Calibri" w:cs="Calibri"/>
      <w:color w:val="000000"/>
    </w:rPr>
  </w:style>
  <w:style w:type="character" w:customStyle="1" w:styleId="TextodebaloChar">
    <w:name w:val="Texto de balão Char"/>
    <w:basedOn w:val="Fontepargpadro"/>
    <w:semiHidden/>
    <w:qFormat/>
    <w:rPr>
      <w:rFonts w:ascii="Tahoma" w:eastAsia="Calibri" w:hAnsi="Tahoma" w:cs="Tahoma"/>
      <w:color w:val="000000"/>
      <w:sz w:val="16"/>
      <w:szCs w:val="16"/>
    </w:rPr>
  </w:style>
  <w:style w:type="character" w:customStyle="1" w:styleId="Linkdainternetvisitado">
    <w:name w:val="Link da internet visitado"/>
    <w:basedOn w:val="Fontepargpadro"/>
    <w:semiHidden/>
    <w:unhideWhenUsed/>
    <w:rPr>
      <w:color w:val="954F72" w:themeColor="followedHyperlink"/>
      <w:u w:val="single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umeraodelinhas">
    <w:name w:val="Numeração de linhas"/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notaderodap">
    <w:name w:val="footnote text"/>
    <w:basedOn w:val="Normal"/>
    <w:semiHidden/>
    <w:unhideWhenUsed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qFormat/>
    <w:rPr>
      <w:color w:val="0000FF"/>
      <w:u w:val="single"/>
    </w:rPr>
  </w:style>
  <w:style w:type="paragraph" w:customStyle="1" w:styleId="Cabealho1">
    <w:name w:val="Cabeçalho1"/>
    <w:basedOn w:val="Normal"/>
    <w:unhideWhenUsed/>
    <w:pPr>
      <w:tabs>
        <w:tab w:val="center" w:pos="4252"/>
        <w:tab w:val="right" w:pos="8504"/>
      </w:tabs>
      <w:suppressAutoHyphens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odapChar">
    <w:name w:val="Rodapé Char"/>
    <w:basedOn w:val="Fontepargpadro"/>
    <w:qFormat/>
    <w:rPr>
      <w:rFonts w:ascii="Calibri" w:eastAsia="Calibri" w:hAnsi="Calibri" w:cs="Calibri"/>
      <w:color w:val="000000"/>
    </w:rPr>
  </w:style>
  <w:style w:type="character" w:customStyle="1" w:styleId="TextodenotaderodapChar">
    <w:name w:val="Texto de nota de rodapé Char"/>
    <w:basedOn w:val="Fontepargpadro"/>
    <w:semiHidden/>
    <w:qFormat/>
    <w:rPr>
      <w:rFonts w:ascii="Calibri" w:eastAsia="Calibri" w:hAnsi="Calibri" w:cs="Calibri"/>
      <w:color w:val="000000"/>
      <w:sz w:val="20"/>
      <w:szCs w:val="20"/>
    </w:rPr>
  </w:style>
  <w:style w:type="character" w:customStyle="1" w:styleId="FootnoteCharacters">
    <w:name w:val="Footnote Characters"/>
    <w:basedOn w:val="Fontepargpadro"/>
    <w:semiHidden/>
    <w:unhideWhenUsed/>
    <w:qFormat/>
    <w:rPr>
      <w:vertAlign w:val="superscript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nkdaInternet">
    <w:name w:val="Link da Internet"/>
    <w:basedOn w:val="Fontepargpadro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semiHidden/>
    <w:qFormat/>
    <w:rPr>
      <w:rFonts w:ascii="Calibri" w:eastAsia="Calibri" w:hAnsi="Calibri" w:cs="Calibri"/>
      <w:color w:val="000000"/>
    </w:rPr>
  </w:style>
  <w:style w:type="character" w:customStyle="1" w:styleId="TextodebaloChar">
    <w:name w:val="Texto de balão Char"/>
    <w:basedOn w:val="Fontepargpadro"/>
    <w:semiHidden/>
    <w:qFormat/>
    <w:rPr>
      <w:rFonts w:ascii="Tahoma" w:eastAsia="Calibri" w:hAnsi="Tahoma" w:cs="Tahoma"/>
      <w:color w:val="000000"/>
      <w:sz w:val="16"/>
      <w:szCs w:val="16"/>
    </w:rPr>
  </w:style>
  <w:style w:type="character" w:customStyle="1" w:styleId="Linkdainternetvisitado">
    <w:name w:val="Link da internet visitado"/>
    <w:basedOn w:val="Fontepargpadro"/>
    <w:semiHidden/>
    <w:unhideWhenUsed/>
    <w:rPr>
      <w:color w:val="954F72" w:themeColor="followedHyperlink"/>
      <w:u w:val="single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character" w:customStyle="1" w:styleId="Numeraodelinhas">
    <w:name w:val="Numeração de linhas"/>
  </w:style>
  <w:style w:type="paragraph" w:styleId="Ttulo">
    <w:name w:val="Title"/>
    <w:basedOn w:val="Normal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qFormat/>
    <w:pPr>
      <w:ind w:left="720"/>
      <w:contextualSpacing/>
    </w:pPr>
  </w:style>
  <w:style w:type="paragraph" w:styleId="Textodenotaderodap">
    <w:name w:val="footnote text"/>
    <w:basedOn w:val="Normal"/>
    <w:semiHidden/>
    <w:unhideWhenUsed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nhideWhenUsed/>
    <w:qFormat/>
    <w:rPr>
      <w:color w:val="0000FF"/>
      <w:u w:val="single"/>
    </w:rPr>
  </w:style>
  <w:style w:type="paragraph" w:customStyle="1" w:styleId="Cabealho1">
    <w:name w:val="Cabeçalho1"/>
    <w:basedOn w:val="Normal"/>
    <w:unhideWhenUsed/>
    <w:pPr>
      <w:tabs>
        <w:tab w:val="center" w:pos="4252"/>
        <w:tab w:val="right" w:pos="8504"/>
      </w:tabs>
      <w:suppressAutoHyphens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estao.cge.to.gov.b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rtaltransparencia.gov.br/sancoes/ceis?ordenarPor=nome&amp;direcao=as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.gov.br/cge" TargetMode="External"/><Relationship Id="rId2" Type="http://schemas.openxmlformats.org/officeDocument/2006/relationships/hyperlink" Target="mailto:gabexecutivo@controladoria.t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9AFF7-1BA0-461D-A5D3-6D67A4C74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2024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AMANDA FELIX RIBEIRO</cp:lastModifiedBy>
  <cp:revision>3</cp:revision>
  <cp:lastPrinted>2018-08-01T13:29:00Z</cp:lastPrinted>
  <dcterms:created xsi:type="dcterms:W3CDTF">2021-08-31T20:07:00Z</dcterms:created>
  <dcterms:modified xsi:type="dcterms:W3CDTF">2021-08-31T20:07:00Z</dcterms:modified>
</cp:coreProperties>
</file>