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926" w:rsidRDefault="002711A2">
      <w:pPr>
        <w:pStyle w:val="Cabealho"/>
        <w:jc w:val="center"/>
        <w:rPr>
          <w:rFonts w:ascii="Times New Roman" w:hAnsi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/>
          <w:b/>
          <w:bCs/>
          <w:sz w:val="20"/>
          <w:szCs w:val="20"/>
        </w:rPr>
        <w:t>CHECKLIST</w:t>
      </w:r>
      <w:proofErr w:type="spellEnd"/>
    </w:p>
    <w:p w:rsidR="00033926" w:rsidRDefault="00033926">
      <w:pPr>
        <w:pStyle w:val="Cabealho"/>
        <w:spacing w:line="360" w:lineRule="auto"/>
        <w:jc w:val="center"/>
        <w:outlineLvl w:val="0"/>
        <w:rPr>
          <w:rFonts w:ascii="Times New Roman" w:hAnsi="Times New Roman"/>
          <w:bCs/>
          <w:sz w:val="20"/>
          <w:szCs w:val="20"/>
        </w:rPr>
      </w:pPr>
    </w:p>
    <w:p w:rsidR="00033926" w:rsidRDefault="002711A2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Termo de Contrato</w:t>
      </w:r>
    </w:p>
    <w:p w:rsidR="00033926" w:rsidRDefault="00033926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033926" w:rsidRDefault="002711A2">
      <w:pPr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Órgão/Entidade: _______________________________________________________________________________________</w:t>
      </w:r>
    </w:p>
    <w:p w:rsidR="00033926" w:rsidRDefault="002711A2">
      <w:pPr>
        <w:spacing w:after="0" w:line="36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</w:rPr>
        <w:t>Processo nº: ____________________________________________ Valor R$ ______________________________________</w:t>
      </w:r>
    </w:p>
    <w:p w:rsidR="00033926" w:rsidRDefault="002711A2">
      <w:pPr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Contrato nº: __________________________________________________________________________________________</w:t>
      </w:r>
    </w:p>
    <w:p w:rsidR="00033926" w:rsidRDefault="002711A2">
      <w:pPr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Interessado: __________________________________________________________________________________________</w:t>
      </w:r>
    </w:p>
    <w:p w:rsidR="00033926" w:rsidRDefault="00033926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033926" w:rsidRDefault="002711A2">
      <w:pPr>
        <w:pStyle w:val="NormalWeb"/>
        <w:shd w:val="clear" w:color="auto" w:fill="FFFFFF"/>
        <w:spacing w:before="280" w:beforeAutospacing="0" w:after="280" w:line="360" w:lineRule="auto"/>
        <w:jc w:val="both"/>
        <w:rPr>
          <w:sz w:val="18"/>
          <w:szCs w:val="18"/>
        </w:rPr>
      </w:pPr>
      <w:r>
        <w:rPr>
          <w:b/>
          <w:sz w:val="18"/>
          <w:szCs w:val="18"/>
          <w:u w:val="single"/>
        </w:rPr>
        <w:t>Contrato</w:t>
      </w:r>
      <w:r>
        <w:rPr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>administrativo</w:t>
      </w:r>
      <w:r>
        <w:rPr>
          <w:sz w:val="18"/>
          <w:szCs w:val="18"/>
        </w:rPr>
        <w:t xml:space="preserve"> é todo e qualquer ajuste entre Órgãos ou Entidades da Administração Pública e com particulares, </w:t>
      </w:r>
      <w:proofErr w:type="gramStart"/>
      <w:r>
        <w:rPr>
          <w:sz w:val="18"/>
          <w:szCs w:val="18"/>
        </w:rPr>
        <w:t>em</w:t>
      </w:r>
      <w:proofErr w:type="gramEnd"/>
      <w:r>
        <w:rPr>
          <w:sz w:val="18"/>
          <w:szCs w:val="18"/>
        </w:rPr>
        <w:t xml:space="preserve"> que há um acordo de vontade para a formação de vínculo e a estipulação de obrigações recíprocas. O contrato administrativo é regido pelo direito público, de modo específico da </w:t>
      </w:r>
      <w:r>
        <w:rPr>
          <w:b/>
          <w:sz w:val="18"/>
          <w:szCs w:val="18"/>
        </w:rPr>
        <w:t xml:space="preserve">Lei Federal n° 8.666/93. </w:t>
      </w:r>
      <w:r>
        <w:rPr>
          <w:sz w:val="18"/>
          <w:szCs w:val="18"/>
        </w:rPr>
        <w:t>Os contratos devem estabelecer com clareza e precisão as condições para sua execução, expressas em cláusulas que definam os direitos, obrigações e responsabilidades das partes, em conformidade com os termos da licitação e da proposta a que se vinculam.</w:t>
      </w:r>
    </w:p>
    <w:p w:rsidR="00033926" w:rsidRDefault="002711A2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LEGENDA: S = SIM; N = NÃO; NA = NÃO SE </w:t>
      </w:r>
      <w:proofErr w:type="gramStart"/>
      <w:r>
        <w:rPr>
          <w:rFonts w:ascii="Times New Roman" w:hAnsi="Times New Roman"/>
          <w:b/>
          <w:sz w:val="18"/>
          <w:szCs w:val="18"/>
        </w:rPr>
        <w:t>APLICA</w:t>
      </w:r>
      <w:proofErr w:type="gramEnd"/>
    </w:p>
    <w:tbl>
      <w:tblPr>
        <w:tblW w:w="9072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5645"/>
        <w:gridCol w:w="1871"/>
        <w:gridCol w:w="853"/>
        <w:gridCol w:w="703"/>
      </w:tblGrid>
      <w:tr w:rsidR="00033926"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033926" w:rsidRDefault="002711A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Questões relativas ao procedimento da análise do</w:t>
            </w:r>
          </w:p>
          <w:p w:rsidR="00033926" w:rsidRDefault="002711A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Termo de Contrato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033926" w:rsidRDefault="002711A2">
            <w:pPr>
              <w:widowControl w:val="0"/>
              <w:ind w:left="-106" w:right="-11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Observação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033926" w:rsidRDefault="002711A2">
            <w:pPr>
              <w:widowControl w:val="0"/>
              <w:ind w:right="-10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S/N/NA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033926" w:rsidRDefault="002711A2">
            <w:pPr>
              <w:widowControl w:val="0"/>
              <w:ind w:right="-11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Folha</w:t>
            </w:r>
          </w:p>
        </w:tc>
      </w:tr>
      <w:tr w:rsidR="00033926">
        <w:tc>
          <w:tcPr>
            <w:tcW w:w="9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926" w:rsidRDefault="002711A2">
            <w:pPr>
              <w:pStyle w:val="PargrafodaLista"/>
              <w:widowControl w:val="0"/>
              <w:numPr>
                <w:ilvl w:val="0"/>
                <w:numId w:val="2"/>
              </w:numPr>
              <w:spacing w:after="0"/>
              <w:ind w:left="567" w:right="35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Preâmbulo da minuta do contrato</w:t>
            </w:r>
            <w:r>
              <w:rPr>
                <w:rStyle w:val="FootnoteAnchor"/>
                <w:rFonts w:ascii="Times New Roman" w:hAnsi="Times New Roman" w:cs="Times New Roman"/>
                <w:b/>
                <w:sz w:val="18"/>
                <w:szCs w:val="18"/>
              </w:rPr>
              <w:footnoteReference w:id="1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contém: (Art. 61,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caput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da Lei nº 8.666/93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</w:tr>
      <w:tr w:rsidR="00033926"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926" w:rsidRDefault="002711A2">
            <w:pPr>
              <w:pStyle w:val="PargrafodaLista"/>
              <w:widowControl w:val="0"/>
              <w:numPr>
                <w:ilvl w:val="0"/>
                <w:numId w:val="1"/>
              </w:numPr>
              <w:spacing w:after="0"/>
              <w:ind w:left="567" w:right="35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 indicação dos nomes das partes e de seus representantes?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567" w:right="35" w:hanging="680"/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567" w:right="35" w:hanging="680"/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567" w:right="35" w:hanging="680"/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</w:pPr>
          </w:p>
        </w:tc>
      </w:tr>
      <w:tr w:rsidR="00033926"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926" w:rsidRDefault="002711A2">
            <w:pPr>
              <w:pStyle w:val="PargrafodaLista"/>
              <w:widowControl w:val="0"/>
              <w:numPr>
                <w:ilvl w:val="0"/>
                <w:numId w:val="1"/>
              </w:numPr>
              <w:spacing w:after="0"/>
              <w:ind w:left="567" w:right="35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 ato que autorizo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u sua lavratura?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567" w:right="35" w:hanging="680"/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567" w:right="35" w:hanging="680"/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567" w:right="35" w:hanging="680"/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</w:pPr>
          </w:p>
        </w:tc>
      </w:tr>
      <w:tr w:rsidR="00033926"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926" w:rsidRDefault="002711A2">
            <w:pPr>
              <w:pStyle w:val="PargrafodaLista"/>
              <w:widowControl w:val="0"/>
              <w:numPr>
                <w:ilvl w:val="0"/>
                <w:numId w:val="1"/>
              </w:numPr>
              <w:spacing w:after="0"/>
              <w:ind w:left="567" w:right="35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 número do processo da licitação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 dispensa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ou inexigibilidade?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567" w:right="35" w:hanging="680"/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567" w:right="35" w:hanging="680"/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567" w:right="35" w:hanging="680"/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</w:pPr>
          </w:p>
        </w:tc>
      </w:tr>
      <w:tr w:rsidR="00033926"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926" w:rsidRDefault="002711A2">
            <w:pPr>
              <w:pStyle w:val="PargrafodaLista"/>
              <w:widowControl w:val="0"/>
              <w:numPr>
                <w:ilvl w:val="0"/>
                <w:numId w:val="1"/>
              </w:numPr>
              <w:spacing w:after="0"/>
              <w:ind w:left="567" w:right="35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 sujeição dos contratantes às normas da Lei Federal nº 8.666/93?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567" w:right="35" w:hanging="680"/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567" w:right="35" w:hanging="680"/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567" w:right="35" w:hanging="680"/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</w:pPr>
          </w:p>
        </w:tc>
      </w:tr>
      <w:tr w:rsidR="00033926">
        <w:trPr>
          <w:trHeight w:val="624"/>
        </w:trPr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926" w:rsidRDefault="002711A2">
            <w:pPr>
              <w:pStyle w:val="PargrafodaLista"/>
              <w:widowControl w:val="0"/>
              <w:numPr>
                <w:ilvl w:val="0"/>
                <w:numId w:val="2"/>
              </w:numPr>
              <w:spacing w:after="0"/>
              <w:ind w:left="567" w:right="35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objeto do contrato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apresenta elementos característicos de forma clara e está de acordo com o processo que deu origem ao contrato? (Art. 55, inc. I da Lei nº 8.666/93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567" w:right="35" w:hanging="425"/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567" w:right="35" w:hanging="425"/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567" w:right="35" w:hanging="425"/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</w:pPr>
          </w:p>
        </w:tc>
      </w:tr>
      <w:tr w:rsidR="00033926"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926" w:rsidRDefault="002711A2">
            <w:pPr>
              <w:pStyle w:val="PargrafodaLista"/>
              <w:widowControl w:val="0"/>
              <w:numPr>
                <w:ilvl w:val="0"/>
                <w:numId w:val="2"/>
              </w:numPr>
              <w:spacing w:after="0"/>
              <w:ind w:left="567" w:right="35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vinculação ao ato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 declaração da dispensa da licitação, ou do Edital e a proposta feita pelo interessado? (Art. 54, § 2°, da Lei nº 8.666/93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567" w:right="35" w:hanging="425"/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567" w:right="35" w:hanging="425"/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567" w:right="35" w:hanging="425"/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</w:pPr>
          </w:p>
        </w:tc>
      </w:tr>
      <w:tr w:rsidR="00033926">
        <w:trPr>
          <w:trHeight w:val="397"/>
        </w:trPr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926" w:rsidRDefault="002711A2">
            <w:pPr>
              <w:pStyle w:val="PargrafodaLista"/>
              <w:widowControl w:val="0"/>
              <w:numPr>
                <w:ilvl w:val="0"/>
                <w:numId w:val="2"/>
              </w:numPr>
              <w:spacing w:after="0"/>
              <w:ind w:left="567" w:right="35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regime de execução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ou a forma de fornecimento contém elementos suficientes para a execução do contrato no prazo estabelecido? (Art. 55, inc. II da Lei nº 8.666/93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</w:pPr>
          </w:p>
        </w:tc>
      </w:tr>
      <w:tr w:rsidR="00033926"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926" w:rsidRDefault="002711A2">
            <w:pPr>
              <w:pStyle w:val="PargrafodaLista"/>
              <w:widowControl w:val="0"/>
              <w:numPr>
                <w:ilvl w:val="0"/>
                <w:numId w:val="2"/>
              </w:numPr>
              <w:spacing w:after="0"/>
              <w:ind w:left="567" w:right="35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Os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preços</w:t>
            </w:r>
            <w:r>
              <w:rPr>
                <w:rStyle w:val="FootnoteAnchor"/>
                <w:rFonts w:ascii="Times New Roman" w:hAnsi="Times New Roman" w:cs="Times New Roman"/>
                <w:b/>
                <w:sz w:val="18"/>
                <w:szCs w:val="18"/>
              </w:rPr>
              <w:footnoteReference w:id="2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unitário e global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estão compatíveis com o valor estimado informado no processo que deu origem ao contrato? (Art. 55, inc.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da Lei nº 8.666/93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3926"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926" w:rsidRDefault="002711A2">
            <w:pPr>
              <w:pStyle w:val="PargrafodaLista"/>
              <w:widowControl w:val="0"/>
              <w:numPr>
                <w:ilvl w:val="0"/>
                <w:numId w:val="2"/>
              </w:numPr>
              <w:spacing w:after="0"/>
              <w:ind w:left="567" w:right="35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As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condições de pagamento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estabelecem os requisitos necessários para o pagamento ao contratado? (Art. 55, inc.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da Lei nº 8.666/93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033926" w:rsidRDefault="002711A2">
            <w:pPr>
              <w:pStyle w:val="PargrafodaLista"/>
              <w:widowControl w:val="0"/>
              <w:spacing w:after="0"/>
              <w:ind w:left="567" w:right="35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lastRenderedPageBreak/>
              <w:t>Obs.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: São exemplos de requisitos necessários: a apresentação de documento fiscal do fornecimento de material ou execução de serviço, conferido e atestado pela Administração; apresentação de termo de medição no caso de acompanhamento de realização de obras; planilhas; recibo de aluguel: planilhas pormenorizadas de custos; demonstrações de cumprimento das obrigações com encargos sociais e trabalhistas com as devidas retenções tributárias dentre outras pertinentes ao tipo de contrato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3926"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926" w:rsidRDefault="002711A2">
            <w:pPr>
              <w:pStyle w:val="PargrafodaLista"/>
              <w:widowControl w:val="0"/>
              <w:numPr>
                <w:ilvl w:val="0"/>
                <w:numId w:val="2"/>
              </w:numPr>
              <w:spacing w:after="0"/>
              <w:ind w:left="567" w:right="35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Os critérios, a data-base e a periodicidade do reajustamento de preços</w:t>
            </w:r>
            <w:r>
              <w:rPr>
                <w:rStyle w:val="FootnoteAnchor"/>
                <w:rFonts w:ascii="Times New Roman" w:hAnsi="Times New Roman" w:cs="Times New Roman"/>
                <w:sz w:val="18"/>
                <w:szCs w:val="18"/>
              </w:rPr>
              <w:footnoteReference w:id="3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são compatíveis com os padrões de mercado? (Art. 55, inc.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da Lei 8.666/93)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3926">
        <w:trPr>
          <w:trHeight w:val="664"/>
        </w:trPr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926" w:rsidRDefault="002711A2">
            <w:pPr>
              <w:pStyle w:val="PargrafodaLista"/>
              <w:widowControl w:val="0"/>
              <w:numPr>
                <w:ilvl w:val="0"/>
                <w:numId w:val="2"/>
              </w:numPr>
              <w:spacing w:after="0"/>
              <w:ind w:left="567" w:right="35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 contrato prevê 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de início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das etapas de execução, de entrega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 conclusão, de observação (acompanhamento, fiscalização ou monitoramento) e de recebimento definitivo, conforme o caso? (Art. 55, inc.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da Lei nº 8.666/93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3926"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926" w:rsidRDefault="002711A2">
            <w:pPr>
              <w:pStyle w:val="PargrafodaLista"/>
              <w:widowControl w:val="0"/>
              <w:numPr>
                <w:ilvl w:val="0"/>
                <w:numId w:val="2"/>
              </w:numPr>
              <w:spacing w:after="0"/>
              <w:ind w:left="567" w:right="35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 cláusula que define o crédito pelo qual ocorrerá a despesa, com a indicação da classificação funcional programática e da categoria econômica está compatível com o processo que deu origem ao contrato, bem como com o(s) empenho(s) da despesa? (Art. 55, inciso V da Lei 8.666/93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33926" w:rsidRDefault="00033926">
            <w:pPr>
              <w:pStyle w:val="PargrafodaLista"/>
              <w:widowControl w:val="0"/>
              <w:spacing w:after="0"/>
              <w:ind w:left="567" w:right="3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33926" w:rsidRDefault="002711A2">
            <w:pPr>
              <w:pStyle w:val="PargrafodaLista"/>
              <w:widowControl w:val="0"/>
              <w:spacing w:after="0"/>
              <w:ind w:left="567" w:right="35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Obs.: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Devem-se considerar as questões de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apostilamento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necessárias à manutenção do contrato.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3926"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926" w:rsidRDefault="002711A2">
            <w:pPr>
              <w:pStyle w:val="PargrafodaLista"/>
              <w:widowControl w:val="0"/>
              <w:numPr>
                <w:ilvl w:val="0"/>
                <w:numId w:val="2"/>
              </w:numPr>
              <w:spacing w:after="0"/>
              <w:ind w:left="567" w:right="35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Houve previsão de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recursos orçamentários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que assegurem o pagamento das obrigações a serem executadas no exercício financeiro em curso e de acordo com o respectivo cronograma? (Art.7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§ 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inc.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da Lei nº 8.666/93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3926"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926" w:rsidRDefault="002711A2">
            <w:pPr>
              <w:pStyle w:val="PargrafodaLista"/>
              <w:widowControl w:val="0"/>
              <w:numPr>
                <w:ilvl w:val="0"/>
                <w:numId w:val="2"/>
              </w:numPr>
              <w:spacing w:after="0"/>
              <w:ind w:left="567" w:right="35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vigência do contrato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é por tempo determinado? (Art. 57, § 3º da Lei nº 8.666/93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3926"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926" w:rsidRDefault="002711A2">
            <w:pPr>
              <w:pStyle w:val="PargrafodaLista"/>
              <w:widowControl w:val="0"/>
              <w:numPr>
                <w:ilvl w:val="0"/>
                <w:numId w:val="2"/>
              </w:numPr>
              <w:spacing w:after="0"/>
              <w:ind w:left="567" w:right="35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prazo de duração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do contrato ficou adstrito à vigência do respectivo crédito orçamentário? Se a resposta for negativa, o contrato refere-se à: (Art. 57,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caput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da Lei nº 8.666/93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3926"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2711A2">
            <w:pPr>
              <w:pStyle w:val="PargrafodaLista"/>
              <w:widowControl w:val="0"/>
              <w:numPr>
                <w:ilvl w:val="0"/>
                <w:numId w:val="6"/>
              </w:numPr>
              <w:spacing w:after="0"/>
              <w:ind w:left="56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Projeto cujos produtos estejam contemplados nas metas do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PPA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sendo previsto no ato convocatório (Edital)?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3926"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2711A2">
            <w:pPr>
              <w:pStyle w:val="PargrafodaLista"/>
              <w:widowControl w:val="0"/>
              <w:numPr>
                <w:ilvl w:val="0"/>
                <w:numId w:val="6"/>
              </w:numPr>
              <w:spacing w:after="0"/>
              <w:ind w:left="56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Aluguel de equipamento e à utilização de programas de informática, limitado a 48 (quarenta e oito) meses?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3926"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2711A2">
            <w:pPr>
              <w:pStyle w:val="PargrafodaLista"/>
              <w:widowControl w:val="0"/>
              <w:numPr>
                <w:ilvl w:val="0"/>
                <w:numId w:val="6"/>
              </w:numPr>
              <w:spacing w:after="0"/>
              <w:ind w:left="567" w:right="55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Prestação de serviços de forma contínua, com duração prorrogável por iguais e sucessivos períodos, com vistas à obtenção de preços e condições mais vantajosas, limitada a 60 (sessenta) meses?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3926"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2711A2">
            <w:pPr>
              <w:pStyle w:val="PargrafodaLista"/>
              <w:widowControl w:val="0"/>
              <w:numPr>
                <w:ilvl w:val="0"/>
                <w:numId w:val="6"/>
              </w:numPr>
              <w:spacing w:after="0"/>
              <w:ind w:left="567" w:right="5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Às hipóteses previstas nos incisos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IX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XIX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XXVIII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XXXI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do art. 24, cujos contratos poderão ter vigência por até 120 (cento e vinte) meses, caso haja interesse da administração</w:t>
            </w:r>
            <w:r>
              <w:rPr>
                <w:rStyle w:val="FootnoteAnchor"/>
                <w:rFonts w:ascii="Times New Roman" w:hAnsi="Times New Roman" w:cs="Times New Roman"/>
                <w:sz w:val="18"/>
                <w:szCs w:val="18"/>
              </w:rPr>
              <w:footnoteReference w:id="4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?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3926"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2711A2">
            <w:pPr>
              <w:pStyle w:val="PargrafodaLista"/>
              <w:widowControl w:val="0"/>
              <w:numPr>
                <w:ilvl w:val="0"/>
                <w:numId w:val="6"/>
              </w:numPr>
              <w:spacing w:after="0"/>
              <w:ind w:left="567" w:right="5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 Administração firmou contratação por tempo indeterminado nos serviços contínuos na qualidade de usuária de serviço público</w:t>
            </w:r>
            <w:r>
              <w:rPr>
                <w:rStyle w:val="FootnoteAnchor"/>
                <w:rFonts w:ascii="Times New Roman" w:hAnsi="Times New Roman" w:cs="Times New Roman"/>
                <w:sz w:val="18"/>
                <w:szCs w:val="18"/>
              </w:rPr>
              <w:footnoteReference w:id="5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?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(Nota de Orientação da AGU nº 36/2011)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3926"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926" w:rsidRDefault="002711A2">
            <w:pPr>
              <w:pStyle w:val="PargrafodaLista"/>
              <w:widowControl w:val="0"/>
              <w:numPr>
                <w:ilvl w:val="0"/>
                <w:numId w:val="2"/>
              </w:numPr>
              <w:spacing w:after="0"/>
              <w:ind w:left="567" w:right="35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A cláusula que trata das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garantias oferecidas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para assegurar sua plena execução do contrato, quando exigidas? (Art. 55, inc. VI da Lei nº 8.666/93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033926" w:rsidRDefault="00033926">
            <w:pPr>
              <w:pStyle w:val="PargrafodaLista"/>
              <w:widowControl w:val="0"/>
              <w:spacing w:after="0"/>
              <w:ind w:left="567" w:right="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3926"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926" w:rsidRDefault="002711A2">
            <w:pPr>
              <w:pStyle w:val="PargrafodaLista"/>
              <w:widowControl w:val="0"/>
              <w:numPr>
                <w:ilvl w:val="0"/>
                <w:numId w:val="2"/>
              </w:numPr>
              <w:spacing w:after="0"/>
              <w:ind w:left="567" w:right="35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Foram apresentados comprovantes referentes às garantias porventura exigidas? (Art. 55, inciso VI da Lei nº 8.666/93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3926">
        <w:tc>
          <w:tcPr>
            <w:tcW w:w="9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2711A2">
            <w:pPr>
              <w:pStyle w:val="PargrafodaLista"/>
              <w:widowControl w:val="0"/>
              <w:numPr>
                <w:ilvl w:val="0"/>
                <w:numId w:val="2"/>
              </w:numPr>
              <w:spacing w:after="0"/>
              <w:ind w:left="567" w:right="35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 caso de exigência de garantia, a critério da Administração, foi aplicada uma das seguintes modalidades de garantia</w:t>
            </w:r>
            <w:r>
              <w:rPr>
                <w:rStyle w:val="FootnoteAnchor"/>
                <w:rFonts w:ascii="Times New Roman" w:hAnsi="Times New Roman" w:cs="Times New Roman"/>
                <w:sz w:val="18"/>
                <w:szCs w:val="18"/>
              </w:rPr>
              <w:footnoteReference w:id="6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prevista no contrato: (Art. 56, caput e § 1º da Lei nº 8.666/93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</w:tr>
      <w:tr w:rsidR="00033926"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2711A2">
            <w:pPr>
              <w:pStyle w:val="PargrafodaLista"/>
              <w:widowControl w:val="0"/>
              <w:numPr>
                <w:ilvl w:val="0"/>
                <w:numId w:val="3"/>
              </w:numPr>
              <w:spacing w:after="0"/>
              <w:ind w:left="567" w:right="35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Caução em dinheiro ou em títulos da dívida pública, devendo estes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ter sido emitidos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sob a forma escritural, mediante registro em sistema centralizado de liquidação e de custódia autorizado pelo Banco Central do Brasil e avaliados pelos seus valores econômicos, conforme definido pelo Ministério da Fazenda?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3926"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2711A2">
            <w:pPr>
              <w:pStyle w:val="PargrafodaLista"/>
              <w:widowControl w:val="0"/>
              <w:numPr>
                <w:ilvl w:val="0"/>
                <w:numId w:val="3"/>
              </w:numPr>
              <w:spacing w:after="0"/>
              <w:ind w:left="567" w:right="35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Seguro-garantia?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3926"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2711A2">
            <w:pPr>
              <w:pStyle w:val="PargrafodaLista"/>
              <w:widowControl w:val="0"/>
              <w:numPr>
                <w:ilvl w:val="0"/>
                <w:numId w:val="3"/>
              </w:numPr>
              <w:spacing w:after="0"/>
              <w:ind w:left="567" w:right="35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Fiança bancária?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3926"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926" w:rsidRDefault="002711A2">
            <w:pPr>
              <w:pStyle w:val="PargrafodaLista"/>
              <w:widowControl w:val="0"/>
              <w:numPr>
                <w:ilvl w:val="0"/>
                <w:numId w:val="2"/>
              </w:numPr>
              <w:spacing w:after="0"/>
              <w:ind w:left="567" w:right="35" w:hanging="425"/>
              <w:jc w:val="both"/>
              <w:rPr>
                <w:rFonts w:ascii="Times New Roman" w:hAnsi="Times New Roman" w:cs="Times New Roman"/>
                <w:color w:val="365F91" w:themeColor="accent1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cláusula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dos direitos e das responsabilidades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(ou das obrigações entre as partes) estabelece obrigações que condicionem a organização, direção, controle, execução e ou fiscalização do contrato? </w:t>
            </w:r>
            <w:r>
              <w:rPr>
                <w:rFonts w:ascii="Times New Roman" w:hAnsi="Times New Roman" w:cs="Times New Roman"/>
                <w:color w:val="365F91" w:themeColor="accent1" w:themeShade="BF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Art. 55, inc.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VII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da Lei nº 8.666/93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</w:pPr>
          </w:p>
        </w:tc>
      </w:tr>
      <w:tr w:rsidR="00033926"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926" w:rsidRDefault="002711A2">
            <w:pPr>
              <w:pStyle w:val="PargrafodaLista"/>
              <w:widowControl w:val="0"/>
              <w:numPr>
                <w:ilvl w:val="0"/>
                <w:numId w:val="2"/>
              </w:numPr>
              <w:spacing w:after="0"/>
              <w:ind w:left="567" w:right="35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As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penalidades cabíveis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de acordo com a gravidade das faltas cometidas, garantida a prévia defesa? (Art. 55, inc.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VII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da Lei nº 8.666/93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3926"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926" w:rsidRDefault="002711A2">
            <w:pPr>
              <w:pStyle w:val="PargrafodaLista"/>
              <w:widowControl w:val="0"/>
              <w:numPr>
                <w:ilvl w:val="0"/>
                <w:numId w:val="2"/>
              </w:numPr>
              <w:spacing w:after="0"/>
              <w:ind w:left="567" w:right="35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Os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valores das multas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(é recomendável haver um percentual sobre a parcela inadimplida)? (Art. 55, inc.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VII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da Lei nº 8.666/93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3926"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926" w:rsidRDefault="002711A2">
            <w:pPr>
              <w:pStyle w:val="PargrafodaLista"/>
              <w:widowControl w:val="0"/>
              <w:numPr>
                <w:ilvl w:val="0"/>
                <w:numId w:val="2"/>
              </w:numPr>
              <w:spacing w:after="0"/>
              <w:ind w:left="567" w:right="35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cláusula de rescisão</w:t>
            </w:r>
            <w:r>
              <w:rPr>
                <w:rStyle w:val="FootnoteAnchor"/>
                <w:rFonts w:ascii="Times New Roman" w:hAnsi="Times New Roman" w:cs="Times New Roman"/>
                <w:sz w:val="18"/>
                <w:szCs w:val="18"/>
              </w:rPr>
              <w:footnoteReference w:id="7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está de acordo com o art. 77,78 e 79 da Lei Federal nº 8.666, de1993?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 xml:space="preserve">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(Art. 55, inciso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VIII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da Lei nº 8.666/93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3926"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926" w:rsidRDefault="002711A2">
            <w:pPr>
              <w:pStyle w:val="PargrafodaLista"/>
              <w:widowControl w:val="0"/>
              <w:numPr>
                <w:ilvl w:val="0"/>
                <w:numId w:val="2"/>
              </w:numPr>
              <w:spacing w:after="0"/>
              <w:ind w:left="567" w:right="35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Há no contrato elementos que indiquem o reconhecimento dos direitos da Administração, em caso de rescisão administrativa por inexecução total ou parcial do contrato?</w:t>
            </w:r>
            <w:r>
              <w:rPr>
                <w:rStyle w:val="FootnoteAnchor"/>
                <w:rFonts w:ascii="Times New Roman" w:hAnsi="Times New Roman" w:cs="Times New Roman"/>
                <w:sz w:val="18"/>
                <w:szCs w:val="18"/>
              </w:rPr>
              <w:footnoteReference w:id="8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(Art. 55, inciso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IX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da Lei nº 8.666/93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  <w:proofErr w:type="gram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3926"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926" w:rsidRDefault="002711A2">
            <w:pPr>
              <w:pStyle w:val="PargrafodaLista"/>
              <w:widowControl w:val="0"/>
              <w:numPr>
                <w:ilvl w:val="0"/>
                <w:numId w:val="2"/>
              </w:numPr>
              <w:spacing w:after="0"/>
              <w:ind w:left="567" w:right="35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legislação aplicável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à sua execução e aos casos omissos (Art. 55, inc.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XII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da Lei 8.666/93)?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3926"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926" w:rsidRDefault="002711A2">
            <w:pPr>
              <w:pStyle w:val="PargrafodaLista"/>
              <w:widowControl w:val="0"/>
              <w:numPr>
                <w:ilvl w:val="0"/>
                <w:numId w:val="2"/>
              </w:numPr>
              <w:spacing w:after="0"/>
              <w:ind w:left="567" w:right="35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obrigação do contrato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em manter, durante toda a execução de objeto, todas as condições de habilitação e qualificação exigidas na licitação (Art. 55, inc.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XIII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da Lei 8.666/93)?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3926"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926" w:rsidRDefault="002711A2">
            <w:pPr>
              <w:pStyle w:val="PargrafodaLista"/>
              <w:widowControl w:val="0"/>
              <w:numPr>
                <w:ilvl w:val="0"/>
                <w:numId w:val="2"/>
              </w:numPr>
              <w:spacing w:after="0"/>
              <w:ind w:left="567" w:right="35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 valor do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objeto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poderá sofrer acréscimos e decréscimos de acordo com os limites estabelecidos pelo Art. 65, § 1°, da Lei nº 8.666/93?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3926"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926" w:rsidRDefault="002711A2">
            <w:pPr>
              <w:pStyle w:val="PargrafodaLista"/>
              <w:widowControl w:val="0"/>
              <w:numPr>
                <w:ilvl w:val="0"/>
                <w:numId w:val="2"/>
              </w:numPr>
              <w:spacing w:after="0"/>
              <w:ind w:left="567" w:right="35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Há no contrato indicação do foro na sede da Administração para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dirimir questões contratuais, salvo nos casos dispostos no § 6º do art. 32 da Lei Federal nº 8.666/1993? (Art. 55, § 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da Lei 8.666/93)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3926">
        <w:trPr>
          <w:trHeight w:val="258"/>
        </w:trPr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926" w:rsidRDefault="002711A2">
            <w:pPr>
              <w:pStyle w:val="PargrafodaLista"/>
              <w:widowControl w:val="0"/>
              <w:numPr>
                <w:ilvl w:val="0"/>
                <w:numId w:val="2"/>
              </w:numPr>
              <w:spacing w:after="0"/>
              <w:ind w:left="567" w:right="35" w:hanging="42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Consta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original das propostas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 dos documentos que as instruírem (com todos os detalhes técnicos, de preço, de prazo), conforme Art. 38, inc.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da Lei 8.666/93?</w:t>
            </w:r>
          </w:p>
          <w:p w:rsidR="00033926" w:rsidRDefault="00033926">
            <w:pPr>
              <w:pStyle w:val="PargrafodaLista"/>
              <w:widowControl w:val="0"/>
              <w:spacing w:after="0"/>
              <w:ind w:left="567" w:right="3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3926">
        <w:trPr>
          <w:trHeight w:val="297"/>
        </w:trPr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926" w:rsidRDefault="002711A2">
            <w:pPr>
              <w:pStyle w:val="PargrafodaLista"/>
              <w:widowControl w:val="0"/>
              <w:numPr>
                <w:ilvl w:val="0"/>
                <w:numId w:val="2"/>
              </w:numPr>
              <w:spacing w:after="0"/>
              <w:ind w:left="567" w:right="35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 minuta do contrato foi referendada pela Assessoria Jurídica ou pela Procuradoria Geral do Estado, quando for o caso? (Art. 38, inc. VI, da Lei nº 8.666/93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3926">
        <w:trPr>
          <w:trHeight w:val="258"/>
        </w:trPr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926" w:rsidRDefault="002711A2">
            <w:pPr>
              <w:pStyle w:val="PargrafodaLista"/>
              <w:widowControl w:val="0"/>
              <w:numPr>
                <w:ilvl w:val="0"/>
                <w:numId w:val="2"/>
              </w:numPr>
              <w:spacing w:after="0"/>
              <w:ind w:left="567" w:right="35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Consta convocação do licitante classificado para assinar o termo de contrato? (Art. 64 da Lei n° 8.666/93)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3926"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926" w:rsidRDefault="002711A2">
            <w:pPr>
              <w:pStyle w:val="PargrafodaLista"/>
              <w:widowControl w:val="0"/>
              <w:numPr>
                <w:ilvl w:val="0"/>
                <w:numId w:val="2"/>
              </w:numPr>
              <w:spacing w:after="0"/>
              <w:ind w:left="567" w:right="35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original do contrato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(ou instrumento equivalente) foi assinado pelas partes, estando todas devidamente qualificadas?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3926"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926" w:rsidRDefault="002711A2">
            <w:pPr>
              <w:pStyle w:val="PargrafodaLista"/>
              <w:widowControl w:val="0"/>
              <w:numPr>
                <w:ilvl w:val="0"/>
                <w:numId w:val="2"/>
              </w:numPr>
              <w:spacing w:after="0"/>
              <w:ind w:left="567" w:right="35" w:hanging="42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 extrato do contrato</w:t>
            </w:r>
            <w:r>
              <w:rPr>
                <w:rStyle w:val="FootnoteAnchor"/>
                <w:rFonts w:ascii="Times New Roman" w:hAnsi="Times New Roman" w:cs="Times New Roman"/>
                <w:sz w:val="18"/>
                <w:szCs w:val="18"/>
              </w:rPr>
              <w:footnoteReference w:id="9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ou de instrumento equivalente (Art. 62, da Lei n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8.666/93) foi publicado no Diário Oficial e seu comprovante foi anexado ao processo? (Art. 61, § único da Lei nº 8.666/93 e IN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CGE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/TO nº 01/2019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3926"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926" w:rsidRDefault="002711A2">
            <w:pPr>
              <w:pStyle w:val="PargrafodaLista"/>
              <w:widowControl w:val="0"/>
              <w:numPr>
                <w:ilvl w:val="0"/>
                <w:numId w:val="2"/>
              </w:numPr>
              <w:spacing w:after="0"/>
              <w:ind w:left="567" w:right="35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Consta comprovante do lançamento do Termo do Contrato no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SICAP-LO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quando for o caso?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(IN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TCE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/TO nº 10/2008)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3926"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926" w:rsidRDefault="002711A2">
            <w:pPr>
              <w:pStyle w:val="PargrafodaLista"/>
              <w:widowControl w:val="0"/>
              <w:numPr>
                <w:ilvl w:val="0"/>
                <w:numId w:val="2"/>
              </w:numPr>
              <w:spacing w:after="0"/>
              <w:ind w:left="567" w:right="35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Foram inseridas as informações do contrato no Sistema de Acompanhamento de Contratos (</w:t>
            </w:r>
            <w:hyperlink r:id="rId9">
              <w:r>
                <w:rPr>
                  <w:rStyle w:val="LinkdaInternet"/>
                  <w:rFonts w:ascii="Times New Roman" w:hAnsi="Times New Roman"/>
                  <w:sz w:val="18"/>
                  <w:szCs w:val="18"/>
                </w:rPr>
                <w:t>www.gestao.cge.to.gov.br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)? (IN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CGE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/TO nº 02/2016 e art. 45, inc.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“c” do Decreto Orçamentário nº 6.237/2021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3926"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926" w:rsidRDefault="002711A2">
            <w:pPr>
              <w:pStyle w:val="PargrafodaLista"/>
              <w:widowControl w:val="0"/>
              <w:numPr>
                <w:ilvl w:val="0"/>
                <w:numId w:val="2"/>
              </w:numPr>
              <w:spacing w:after="0"/>
              <w:ind w:left="567" w:right="35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Consta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informada as atribuições do fiscal de contratou ou portaria de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designação do fiscal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do contrato e a publicação da mesma? (art. 67, Lei nº 8.666/93)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26" w:rsidRDefault="00033926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33926" w:rsidRDefault="00033926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</w:p>
    <w:p w:rsidR="00033926" w:rsidRDefault="002711A2">
      <w:pPr>
        <w:spacing w:line="36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Apontamentos:</w:t>
      </w: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9287"/>
      </w:tblGrid>
      <w:tr w:rsidR="00033926">
        <w:tc>
          <w:tcPr>
            <w:tcW w:w="9071" w:type="dxa"/>
            <w:shd w:val="clear" w:color="auto" w:fill="auto"/>
          </w:tcPr>
          <w:p w:rsidR="00033926" w:rsidRDefault="00033926">
            <w:pPr>
              <w:spacing w:after="0" w:line="36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033926">
        <w:tc>
          <w:tcPr>
            <w:tcW w:w="9071" w:type="dxa"/>
            <w:shd w:val="clear" w:color="auto" w:fill="auto"/>
          </w:tcPr>
          <w:p w:rsidR="00033926" w:rsidRDefault="00033926">
            <w:pPr>
              <w:spacing w:after="0" w:line="36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033926">
        <w:tc>
          <w:tcPr>
            <w:tcW w:w="9071" w:type="dxa"/>
            <w:shd w:val="clear" w:color="auto" w:fill="auto"/>
          </w:tcPr>
          <w:p w:rsidR="00033926" w:rsidRDefault="00033926">
            <w:pPr>
              <w:spacing w:after="0" w:line="36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033926">
        <w:tc>
          <w:tcPr>
            <w:tcW w:w="9071" w:type="dxa"/>
            <w:shd w:val="clear" w:color="auto" w:fill="auto"/>
          </w:tcPr>
          <w:p w:rsidR="00033926" w:rsidRDefault="00033926">
            <w:pPr>
              <w:spacing w:after="0" w:line="36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033926">
        <w:tc>
          <w:tcPr>
            <w:tcW w:w="9071" w:type="dxa"/>
            <w:shd w:val="clear" w:color="auto" w:fill="auto"/>
          </w:tcPr>
          <w:p w:rsidR="00033926" w:rsidRDefault="00033926">
            <w:pPr>
              <w:spacing w:after="0" w:line="36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033926">
        <w:tc>
          <w:tcPr>
            <w:tcW w:w="9071" w:type="dxa"/>
            <w:shd w:val="clear" w:color="auto" w:fill="auto"/>
          </w:tcPr>
          <w:p w:rsidR="00033926" w:rsidRDefault="00033926">
            <w:pPr>
              <w:spacing w:after="0" w:line="36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033926">
        <w:tc>
          <w:tcPr>
            <w:tcW w:w="9071" w:type="dxa"/>
            <w:shd w:val="clear" w:color="auto" w:fill="auto"/>
          </w:tcPr>
          <w:p w:rsidR="00033926" w:rsidRDefault="00033926">
            <w:pPr>
              <w:spacing w:after="0" w:line="36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</w:tbl>
    <w:p w:rsidR="00033926" w:rsidRDefault="00033926">
      <w:pPr>
        <w:spacing w:line="360" w:lineRule="auto"/>
        <w:rPr>
          <w:rFonts w:ascii="Times New Roman" w:eastAsia="Arial" w:hAnsi="Times New Roman"/>
          <w:b/>
          <w:sz w:val="18"/>
          <w:szCs w:val="18"/>
        </w:rPr>
      </w:pPr>
    </w:p>
    <w:p w:rsidR="002711A2" w:rsidRDefault="002711A2" w:rsidP="002711A2">
      <w:pPr>
        <w:spacing w:line="360" w:lineRule="auto"/>
        <w:jc w:val="center"/>
        <w:rPr>
          <w:rFonts w:ascii="Times New Roman" w:hAnsi="Times New Roman"/>
          <w:vanish/>
          <w:sz w:val="18"/>
          <w:szCs w:val="18"/>
        </w:rPr>
      </w:pPr>
      <w:r>
        <w:rPr>
          <w:rFonts w:ascii="Times New Roman" w:eastAsia="Arial" w:hAnsi="Times New Roman"/>
          <w:b/>
          <w:sz w:val="18"/>
          <w:szCs w:val="18"/>
        </w:rPr>
        <w:t>Assinatura e Matrícula do Servidor</w:t>
      </w:r>
    </w:p>
    <w:tbl>
      <w:tblPr>
        <w:tblW w:w="0" w:type="auto"/>
        <w:tblInd w:w="3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2"/>
      </w:tblGrid>
      <w:tr w:rsidR="002711A2" w:rsidTr="002711A2">
        <w:trPr>
          <w:trHeight w:val="1193"/>
        </w:trPr>
        <w:tc>
          <w:tcPr>
            <w:tcW w:w="3052" w:type="dxa"/>
          </w:tcPr>
          <w:p w:rsidR="002711A2" w:rsidRDefault="002711A2">
            <w:pPr>
              <w:spacing w:line="360" w:lineRule="auto"/>
              <w:jc w:val="center"/>
              <w:rPr>
                <w:rFonts w:ascii="Times New Roman" w:eastAsia="Arial" w:hAnsi="Times New Roman"/>
                <w:b/>
                <w:sz w:val="18"/>
                <w:szCs w:val="18"/>
              </w:rPr>
            </w:pPr>
          </w:p>
        </w:tc>
      </w:tr>
    </w:tbl>
    <w:p w:rsidR="00033926" w:rsidRDefault="00033926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sectPr w:rsidR="00033926">
      <w:headerReference w:type="default" r:id="rId10"/>
      <w:pgSz w:w="11906" w:h="16838"/>
      <w:pgMar w:top="1701" w:right="1134" w:bottom="1134" w:left="1701" w:header="56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3F7" w:rsidRDefault="002711A2">
      <w:pPr>
        <w:spacing w:after="0" w:line="240" w:lineRule="auto"/>
      </w:pPr>
      <w:r>
        <w:separator/>
      </w:r>
    </w:p>
  </w:endnote>
  <w:endnote w:type="continuationSeparator" w:id="0">
    <w:p w:rsidR="00A923F7" w:rsidRDefault="00271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926" w:rsidRDefault="002711A2">
      <w:pPr>
        <w:rPr>
          <w:sz w:val="12"/>
        </w:rPr>
      </w:pPr>
      <w:r>
        <w:separator/>
      </w:r>
    </w:p>
  </w:footnote>
  <w:footnote w:type="continuationSeparator" w:id="0">
    <w:p w:rsidR="00033926" w:rsidRDefault="002711A2">
      <w:pPr>
        <w:rPr>
          <w:sz w:val="12"/>
        </w:rPr>
      </w:pPr>
      <w:r>
        <w:continuationSeparator/>
      </w:r>
    </w:p>
  </w:footnote>
  <w:footnote w:id="1">
    <w:p w:rsidR="00033926" w:rsidRDefault="002711A2">
      <w:pPr>
        <w:pStyle w:val="Textodenotaderodap"/>
        <w:widowControl w:val="0"/>
        <w:jc w:val="both"/>
        <w:rPr>
          <w:rFonts w:ascii="Times New Roman" w:hAnsi="Times New Roman"/>
          <w:sz w:val="16"/>
          <w:szCs w:val="16"/>
        </w:rPr>
      </w:pPr>
      <w:r>
        <w:rPr>
          <w:rStyle w:val="FootnoteCharacters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sz w:val="16"/>
          <w:szCs w:val="16"/>
        </w:rPr>
        <w:t>O instrumento de contrato é obrigatório nos casos de concorrência e de tomada de preços, bem como nas dispensas e inexigibilidades cujos preços estejam compreendidos nos limites destas duas modalidades de licitação, e facultativo nos demais em que a Administração puder substituí-lo por outros instrumentos hábeis, tais como carta-contrato, nota de empenho de despesa, autorização de compra ou ordem de execução de serviço.</w:t>
      </w:r>
      <w:proofErr w:type="gramEnd"/>
      <w:r>
        <w:rPr>
          <w:rFonts w:ascii="Times New Roman" w:hAnsi="Times New Roman"/>
          <w:sz w:val="16"/>
          <w:szCs w:val="16"/>
        </w:rPr>
        <w:t xml:space="preserve"> É dispensável o termo de contrato e facultada à substituição, a critério da Administração e independentemente de seu valor, nos casos de compra com entrega imediata e integral dos bens adquiridos, dos quais não resultem obrigações futuras, inclusive assistência técnica; conforme art. 62 da Lei Federal nº 8.666/1993.</w:t>
      </w:r>
    </w:p>
  </w:footnote>
  <w:footnote w:id="2">
    <w:p w:rsidR="00033926" w:rsidRDefault="002711A2">
      <w:pPr>
        <w:pStyle w:val="Textodenotaderodap"/>
        <w:widowControl w:val="0"/>
        <w:ind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FootnoteCharacters"/>
        </w:rPr>
        <w:footnoteRef/>
      </w:r>
      <w:r>
        <w:rPr>
          <w:rFonts w:ascii="Times New Roman" w:hAnsi="Times New Roman"/>
          <w:sz w:val="16"/>
          <w:szCs w:val="16"/>
        </w:rPr>
        <w:tab/>
        <w:t xml:space="preserve"> As cláusulas econômico-financeiras e monetárias dos contratos administrativos não poderão ser alteradas sem prévia concordância do contratado, conforme disposto no art. 58, § 1º da Lei Federal nº 8.666/1993. Alguns contratos expressam o valor total estimado em outra cláusula e na do preço apenas o valor mensal (estimado ou não). Em outros, remetem aos anexos que pormenorizam cálculos mais complexos para demonstração da composição do preço do material ou serviço contratado.</w:t>
      </w:r>
    </w:p>
  </w:footnote>
  <w:footnote w:id="3">
    <w:p w:rsidR="00033926" w:rsidRDefault="002711A2">
      <w:pPr>
        <w:pStyle w:val="Textodenotaderodap"/>
        <w:widowControl w:val="0"/>
        <w:ind w:left="284" w:hanging="284"/>
        <w:jc w:val="both"/>
        <w:rPr>
          <w:rFonts w:ascii="Times New Roman" w:hAnsi="Times New Roman"/>
          <w:sz w:val="14"/>
          <w:szCs w:val="14"/>
        </w:rPr>
      </w:pPr>
      <w:r>
        <w:rPr>
          <w:rStyle w:val="FootnoteCharacters"/>
        </w:rPr>
        <w:footnoteRef/>
      </w:r>
      <w:r>
        <w:rPr>
          <w:rFonts w:ascii="Times New Roman" w:hAnsi="Times New Roman"/>
          <w:sz w:val="14"/>
          <w:szCs w:val="14"/>
        </w:rPr>
        <w:tab/>
        <w:t xml:space="preserve"> </w:t>
      </w:r>
      <w:r>
        <w:rPr>
          <w:rFonts w:ascii="Times New Roman" w:eastAsia="Arial" w:hAnsi="Times New Roman"/>
          <w:color w:val="000000"/>
          <w:sz w:val="14"/>
          <w:szCs w:val="14"/>
          <w:lang w:eastAsia="pt-BR"/>
        </w:rPr>
        <w:t>Está cláusula também pode ser denominada de cláusula de revisão ou repactuação e poderá prever as hipóteses contempladas no art. 65, inciso II, letra “d”, da Lei nº 8.666/93 e demais condições estabelecidas.</w:t>
      </w:r>
    </w:p>
  </w:footnote>
  <w:footnote w:id="4">
    <w:p w:rsidR="00033926" w:rsidRDefault="002711A2">
      <w:pPr>
        <w:widowControl w:val="0"/>
        <w:spacing w:after="4" w:line="247" w:lineRule="auto"/>
        <w:ind w:left="284" w:right="35" w:hanging="284"/>
        <w:jc w:val="both"/>
        <w:rPr>
          <w:rFonts w:ascii="Times New Roman" w:hAnsi="Times New Roman"/>
          <w:sz w:val="14"/>
          <w:szCs w:val="14"/>
        </w:rPr>
      </w:pPr>
      <w:r>
        <w:rPr>
          <w:rStyle w:val="FootnoteCharacters"/>
        </w:rPr>
        <w:footnoteRef/>
      </w:r>
      <w:r>
        <w:rPr>
          <w:rFonts w:ascii="Times New Roman" w:hAnsi="Times New Roman"/>
          <w:b/>
          <w:sz w:val="14"/>
          <w:szCs w:val="14"/>
        </w:rPr>
        <w:tab/>
        <w:t xml:space="preserve"> </w:t>
      </w:r>
      <w:r>
        <w:rPr>
          <w:rFonts w:ascii="Times New Roman" w:hAnsi="Times New Roman"/>
          <w:sz w:val="14"/>
          <w:szCs w:val="14"/>
        </w:rPr>
        <w:t xml:space="preserve">São os casos de: </w:t>
      </w:r>
    </w:p>
    <w:p w:rsidR="00033926" w:rsidRDefault="002711A2">
      <w:pPr>
        <w:widowControl w:val="0"/>
        <w:numPr>
          <w:ilvl w:val="0"/>
          <w:numId w:val="7"/>
        </w:numPr>
        <w:tabs>
          <w:tab w:val="left" w:pos="284"/>
        </w:tabs>
        <w:spacing w:after="4" w:line="247" w:lineRule="auto"/>
        <w:ind w:left="284" w:right="35" w:hanging="284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- comprometimento da segurança nacional, nos casos estabelecidos em decreto do Presidente da República, ouvido o Conselho de Defesa Nacional; </w:t>
      </w:r>
    </w:p>
    <w:p w:rsidR="00033926" w:rsidRDefault="002711A2">
      <w:pPr>
        <w:widowControl w:val="0"/>
        <w:numPr>
          <w:ilvl w:val="0"/>
          <w:numId w:val="7"/>
        </w:numPr>
        <w:tabs>
          <w:tab w:val="left" w:pos="284"/>
        </w:tabs>
        <w:spacing w:after="4" w:line="247" w:lineRule="auto"/>
        <w:ind w:left="284" w:right="35" w:hanging="284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- compras de material de uso pelas Forças Armadas, com exceção de materiais de uso pessoal e administrativo, quando houver necessidade de manter a padronização requerida pela estrutura de apoio logístico dos meios navais, aéreos e terrestres, mediante parecer de comissão instituída por decreto; </w:t>
      </w:r>
    </w:p>
    <w:p w:rsidR="00033926" w:rsidRDefault="002711A2">
      <w:pPr>
        <w:widowControl w:val="0"/>
        <w:numPr>
          <w:ilvl w:val="0"/>
          <w:numId w:val="7"/>
        </w:numPr>
        <w:tabs>
          <w:tab w:val="left" w:pos="284"/>
        </w:tabs>
        <w:spacing w:after="4" w:line="247" w:lineRule="auto"/>
        <w:ind w:left="284" w:right="35" w:hanging="284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- fornecimento de bens e serviços, produzidos ou prestados no País, que envolvam, cumulativamente, alta complexidade tecnológica e defesa nacional, mediante parecer de comissão especialmente designada pela autoridade máxima do órgão; </w:t>
      </w:r>
    </w:p>
    <w:p w:rsidR="00033926" w:rsidRDefault="002711A2">
      <w:pPr>
        <w:widowControl w:val="0"/>
        <w:numPr>
          <w:ilvl w:val="0"/>
          <w:numId w:val="7"/>
        </w:numPr>
        <w:tabs>
          <w:tab w:val="left" w:pos="284"/>
        </w:tabs>
        <w:spacing w:after="4" w:line="247" w:lineRule="auto"/>
        <w:ind w:left="284" w:right="35" w:hanging="284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- contratações visando ao cumprimento do disposto nos </w:t>
      </w:r>
      <w:proofErr w:type="spellStart"/>
      <w:r>
        <w:rPr>
          <w:rFonts w:ascii="Times New Roman" w:hAnsi="Times New Roman"/>
          <w:sz w:val="14"/>
          <w:szCs w:val="14"/>
        </w:rPr>
        <w:t>arts</w:t>
      </w:r>
      <w:proofErr w:type="spellEnd"/>
      <w:r>
        <w:rPr>
          <w:rFonts w:ascii="Times New Roman" w:hAnsi="Times New Roman"/>
          <w:sz w:val="14"/>
          <w:szCs w:val="14"/>
        </w:rPr>
        <w:t>. 3º, 4º, 5º e 20 da Lei nº 10.973, de 2 de dezembro de 2004, observados os princípios gerais de contratação dela constantes.</w:t>
      </w:r>
    </w:p>
  </w:footnote>
  <w:footnote w:id="5">
    <w:p w:rsidR="00033926" w:rsidRDefault="002711A2">
      <w:pPr>
        <w:pStyle w:val="Textodenotaderodap"/>
        <w:widowControl w:val="0"/>
        <w:ind w:left="284" w:hanging="284"/>
        <w:jc w:val="both"/>
        <w:rPr>
          <w:rFonts w:ascii="Times New Roman" w:hAnsi="Times New Roman"/>
          <w:sz w:val="16"/>
          <w:szCs w:val="16"/>
        </w:rPr>
      </w:pPr>
      <w:r>
        <w:rPr>
          <w:rStyle w:val="FootnoteCharacters"/>
        </w:rPr>
        <w:footnoteRef/>
      </w:r>
      <w:r>
        <w:rPr>
          <w:rFonts w:ascii="Times New Roman" w:hAnsi="Times New Roman"/>
          <w:sz w:val="14"/>
          <w:szCs w:val="14"/>
        </w:rPr>
        <w:tab/>
        <w:t xml:space="preserve"> O inciso II do § 3º do art. 62 da Lei nº n° 8.666, de 1993, preceitua que “aplica-se o disposto nos </w:t>
      </w:r>
      <w:proofErr w:type="spellStart"/>
      <w:r>
        <w:rPr>
          <w:rFonts w:ascii="Times New Roman" w:hAnsi="Times New Roman"/>
          <w:sz w:val="14"/>
          <w:szCs w:val="14"/>
        </w:rPr>
        <w:t>arts</w:t>
      </w:r>
      <w:proofErr w:type="spellEnd"/>
      <w:r>
        <w:rPr>
          <w:rFonts w:ascii="Times New Roman" w:hAnsi="Times New Roman"/>
          <w:sz w:val="14"/>
          <w:szCs w:val="14"/>
        </w:rPr>
        <w:t>. 55 e 58 a 61 desta Lei e demais normas gerais, no que couber, aos contratos em que a Administração for parte como usuária do serviço público”. “Fornecimento ou suprimento de energia elétrica e gás natural com concessionário, permissionário ou autorizado, e fornecimento de água potável e coleta de esgoto segundo as normas da legislação específica</w:t>
      </w:r>
      <w:proofErr w:type="gramStart"/>
      <w:r>
        <w:rPr>
          <w:rFonts w:ascii="Times New Roman" w:hAnsi="Times New Roman"/>
          <w:sz w:val="14"/>
          <w:szCs w:val="14"/>
        </w:rPr>
        <w:t>”</w:t>
      </w:r>
      <w:proofErr w:type="gramEnd"/>
      <w:r>
        <w:rPr>
          <w:rFonts w:ascii="Times New Roman" w:hAnsi="Times New Roman"/>
          <w:sz w:val="16"/>
          <w:szCs w:val="16"/>
        </w:rPr>
        <w:t xml:space="preserve"> </w:t>
      </w:r>
    </w:p>
  </w:footnote>
  <w:footnote w:id="6">
    <w:p w:rsidR="00033926" w:rsidRDefault="002711A2">
      <w:pPr>
        <w:widowControl w:val="0"/>
        <w:spacing w:after="0"/>
        <w:ind w:right="35"/>
        <w:jc w:val="both"/>
        <w:rPr>
          <w:rFonts w:ascii="Times New Roman" w:hAnsi="Times New Roman"/>
          <w:sz w:val="14"/>
          <w:szCs w:val="14"/>
        </w:rPr>
      </w:pPr>
      <w:r>
        <w:rPr>
          <w:rStyle w:val="FootnoteCharacters"/>
        </w:rPr>
        <w:footnoteRef/>
      </w:r>
      <w:r>
        <w:rPr>
          <w:rFonts w:ascii="Times New Roman" w:hAnsi="Times New Roman"/>
          <w:b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 xml:space="preserve">Conforme Lei Federal nº 8.666/1993, art. 56, §§ 2º ao 5º: </w:t>
      </w:r>
    </w:p>
    <w:p w:rsidR="00033926" w:rsidRDefault="002711A2">
      <w:pPr>
        <w:widowControl w:val="0"/>
        <w:numPr>
          <w:ilvl w:val="0"/>
          <w:numId w:val="4"/>
        </w:numPr>
        <w:tabs>
          <w:tab w:val="left" w:pos="426"/>
        </w:tabs>
        <w:spacing w:after="4" w:line="247" w:lineRule="auto"/>
        <w:ind w:left="0" w:right="35" w:firstLine="142"/>
        <w:jc w:val="both"/>
        <w:rPr>
          <w:rFonts w:ascii="Times New Roman" w:hAnsi="Times New Roman"/>
          <w:sz w:val="14"/>
          <w:szCs w:val="14"/>
        </w:rPr>
      </w:pPr>
      <w:proofErr w:type="gramStart"/>
      <w:r>
        <w:rPr>
          <w:rFonts w:ascii="Times New Roman" w:hAnsi="Times New Roman"/>
          <w:sz w:val="14"/>
          <w:szCs w:val="14"/>
        </w:rPr>
        <w:t>a</w:t>
      </w:r>
      <w:proofErr w:type="gramEnd"/>
      <w:r>
        <w:rPr>
          <w:rFonts w:ascii="Times New Roman" w:hAnsi="Times New Roman"/>
          <w:sz w:val="14"/>
          <w:szCs w:val="14"/>
        </w:rPr>
        <w:t xml:space="preserve"> garantia não excederá a cinco por cento (5%) do valor do contrato e terá seu valor atualizado nas mesmas condições daquele, ressalvado o previsto no item a seguir, quando for o caso; </w:t>
      </w:r>
    </w:p>
    <w:p w:rsidR="00033926" w:rsidRDefault="002711A2">
      <w:pPr>
        <w:widowControl w:val="0"/>
        <w:numPr>
          <w:ilvl w:val="0"/>
          <w:numId w:val="4"/>
        </w:numPr>
        <w:tabs>
          <w:tab w:val="left" w:pos="426"/>
        </w:tabs>
        <w:spacing w:after="4" w:line="247" w:lineRule="auto"/>
        <w:ind w:left="0" w:right="35" w:firstLine="142"/>
        <w:jc w:val="both"/>
        <w:rPr>
          <w:rFonts w:ascii="Times New Roman" w:hAnsi="Times New Roman"/>
          <w:sz w:val="14"/>
          <w:szCs w:val="14"/>
        </w:rPr>
      </w:pPr>
      <w:proofErr w:type="gramStart"/>
      <w:r>
        <w:rPr>
          <w:rFonts w:ascii="Times New Roman" w:hAnsi="Times New Roman"/>
          <w:sz w:val="14"/>
          <w:szCs w:val="14"/>
        </w:rPr>
        <w:t>o</w:t>
      </w:r>
      <w:proofErr w:type="gramEnd"/>
      <w:r>
        <w:rPr>
          <w:rFonts w:ascii="Times New Roman" w:hAnsi="Times New Roman"/>
          <w:sz w:val="14"/>
          <w:szCs w:val="14"/>
        </w:rPr>
        <w:t xml:space="preserve"> limite de garantia poderá ser de até dez por cento (10%) do valor do contrato para obras, serviços e fornecimentos de grande vulto envolvendo alta complexidade técnica e riscos financeiros consideráveis, demonstrados através de parecer tecnicamente aprovado pela autoridade competente; </w:t>
      </w:r>
    </w:p>
    <w:p w:rsidR="00033926" w:rsidRDefault="002711A2">
      <w:pPr>
        <w:widowControl w:val="0"/>
        <w:numPr>
          <w:ilvl w:val="0"/>
          <w:numId w:val="4"/>
        </w:numPr>
        <w:tabs>
          <w:tab w:val="left" w:pos="426"/>
        </w:tabs>
        <w:spacing w:after="4" w:line="247" w:lineRule="auto"/>
        <w:ind w:left="0" w:right="35" w:firstLine="142"/>
        <w:jc w:val="both"/>
        <w:rPr>
          <w:rFonts w:ascii="Times New Roman" w:hAnsi="Times New Roman"/>
          <w:sz w:val="14"/>
          <w:szCs w:val="14"/>
        </w:rPr>
      </w:pPr>
      <w:proofErr w:type="gramStart"/>
      <w:r>
        <w:rPr>
          <w:rFonts w:ascii="Times New Roman" w:hAnsi="Times New Roman"/>
          <w:sz w:val="14"/>
          <w:szCs w:val="14"/>
        </w:rPr>
        <w:t>a</w:t>
      </w:r>
      <w:proofErr w:type="gramEnd"/>
      <w:r>
        <w:rPr>
          <w:rFonts w:ascii="Times New Roman" w:hAnsi="Times New Roman"/>
          <w:sz w:val="14"/>
          <w:szCs w:val="14"/>
        </w:rPr>
        <w:t xml:space="preserve"> garantia será liberada ou restituída após a execução do contrato, atualizada monetariamente quando em dinheiro; </w:t>
      </w:r>
    </w:p>
    <w:p w:rsidR="00033926" w:rsidRDefault="002711A2">
      <w:pPr>
        <w:widowControl w:val="0"/>
        <w:numPr>
          <w:ilvl w:val="0"/>
          <w:numId w:val="4"/>
        </w:numPr>
        <w:tabs>
          <w:tab w:val="left" w:pos="426"/>
        </w:tabs>
        <w:spacing w:after="4" w:line="247" w:lineRule="auto"/>
        <w:ind w:left="0" w:right="35" w:firstLine="142"/>
        <w:jc w:val="both"/>
        <w:rPr>
          <w:rFonts w:ascii="Times New Roman" w:hAnsi="Times New Roman"/>
          <w:sz w:val="14"/>
          <w:szCs w:val="14"/>
        </w:rPr>
      </w:pPr>
      <w:proofErr w:type="gramStart"/>
      <w:r>
        <w:rPr>
          <w:rFonts w:ascii="Times New Roman" w:hAnsi="Times New Roman"/>
          <w:sz w:val="14"/>
          <w:szCs w:val="14"/>
        </w:rPr>
        <w:t>a</w:t>
      </w:r>
      <w:proofErr w:type="gramEnd"/>
      <w:r>
        <w:rPr>
          <w:rFonts w:ascii="Times New Roman" w:hAnsi="Times New Roman"/>
          <w:sz w:val="14"/>
          <w:szCs w:val="14"/>
        </w:rPr>
        <w:t xml:space="preserve"> garantia deverá ser acrescida do valor correspondente aos bens entregues pela Administração por meio do contrato, quando o contratado for depositário</w:t>
      </w:r>
    </w:p>
  </w:footnote>
  <w:footnote w:id="7">
    <w:p w:rsidR="00033926" w:rsidRDefault="002711A2">
      <w:pPr>
        <w:widowControl w:val="0"/>
        <w:spacing w:after="0"/>
        <w:ind w:right="35"/>
        <w:jc w:val="both"/>
        <w:rPr>
          <w:rFonts w:ascii="Times New Roman" w:hAnsi="Times New Roman"/>
          <w:sz w:val="14"/>
          <w:szCs w:val="14"/>
        </w:rPr>
      </w:pPr>
      <w:r>
        <w:rPr>
          <w:rStyle w:val="FootnoteCharacters"/>
        </w:rPr>
        <w:footnoteRef/>
      </w:r>
      <w:r>
        <w:rPr>
          <w:rFonts w:ascii="Times New Roman" w:hAnsi="Times New Roman"/>
          <w:b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 xml:space="preserve">A rescisão do contrato poderá ser: </w:t>
      </w:r>
    </w:p>
    <w:p w:rsidR="00033926" w:rsidRDefault="002711A2">
      <w:pPr>
        <w:widowControl w:val="0"/>
        <w:numPr>
          <w:ilvl w:val="0"/>
          <w:numId w:val="5"/>
        </w:numPr>
        <w:tabs>
          <w:tab w:val="left" w:pos="426"/>
        </w:tabs>
        <w:spacing w:after="0" w:line="247" w:lineRule="auto"/>
        <w:ind w:left="0" w:right="35" w:firstLine="142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Determinada por ato unilateral e escrito da Administração, nos casos enumerados nos incisos I a </w:t>
      </w:r>
      <w:proofErr w:type="spellStart"/>
      <w:r>
        <w:rPr>
          <w:rFonts w:ascii="Times New Roman" w:hAnsi="Times New Roman"/>
          <w:sz w:val="14"/>
          <w:szCs w:val="14"/>
        </w:rPr>
        <w:t>XII</w:t>
      </w:r>
      <w:proofErr w:type="spellEnd"/>
      <w:r>
        <w:rPr>
          <w:rFonts w:ascii="Times New Roman" w:hAnsi="Times New Roman"/>
          <w:sz w:val="14"/>
          <w:szCs w:val="14"/>
        </w:rPr>
        <w:t xml:space="preserve"> e </w:t>
      </w:r>
      <w:proofErr w:type="spellStart"/>
      <w:r>
        <w:rPr>
          <w:rFonts w:ascii="Times New Roman" w:hAnsi="Times New Roman"/>
          <w:sz w:val="14"/>
          <w:szCs w:val="14"/>
        </w:rPr>
        <w:t>XVII</w:t>
      </w:r>
      <w:proofErr w:type="spellEnd"/>
      <w:r>
        <w:rPr>
          <w:rFonts w:ascii="Times New Roman" w:hAnsi="Times New Roman"/>
          <w:sz w:val="14"/>
          <w:szCs w:val="14"/>
        </w:rPr>
        <w:t xml:space="preserve"> do art. 78 da Lei Federal nº 8.666/1993; </w:t>
      </w:r>
    </w:p>
    <w:p w:rsidR="00033926" w:rsidRDefault="002711A2">
      <w:pPr>
        <w:widowControl w:val="0"/>
        <w:numPr>
          <w:ilvl w:val="0"/>
          <w:numId w:val="5"/>
        </w:numPr>
        <w:tabs>
          <w:tab w:val="left" w:pos="426"/>
        </w:tabs>
        <w:spacing w:after="0" w:line="247" w:lineRule="auto"/>
        <w:ind w:left="0" w:right="35" w:firstLine="142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Amigável, por acordo entre as partes, reduzida a termo no processo da licitação, desde que haja conveniência para a Administração; </w:t>
      </w:r>
    </w:p>
    <w:p w:rsidR="00033926" w:rsidRDefault="002711A2">
      <w:pPr>
        <w:widowControl w:val="0"/>
        <w:numPr>
          <w:ilvl w:val="0"/>
          <w:numId w:val="5"/>
        </w:numPr>
        <w:tabs>
          <w:tab w:val="left" w:pos="426"/>
        </w:tabs>
        <w:spacing w:after="4" w:line="247" w:lineRule="auto"/>
        <w:ind w:left="0" w:right="35" w:firstLine="142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Judicial, nos termos da legislação.  A rescisão administrativa ou amigável deverá ser precedida de autorização escrita e fundamentada da autoridade competente. </w:t>
      </w:r>
    </w:p>
  </w:footnote>
  <w:footnote w:id="8">
    <w:p w:rsidR="00033926" w:rsidRDefault="002711A2">
      <w:pPr>
        <w:pStyle w:val="Textodenotaderodap"/>
        <w:widowControl w:val="0"/>
        <w:ind w:left="142" w:hanging="142"/>
        <w:jc w:val="both"/>
        <w:rPr>
          <w:sz w:val="14"/>
          <w:szCs w:val="14"/>
        </w:rPr>
      </w:pPr>
      <w:r>
        <w:rPr>
          <w:rStyle w:val="FootnoteCharacters"/>
        </w:rPr>
        <w:footnoteRef/>
      </w:r>
      <w:r>
        <w:rPr>
          <w:rFonts w:ascii="Times New Roman" w:hAnsi="Times New Roman"/>
          <w:sz w:val="14"/>
          <w:szCs w:val="14"/>
        </w:rPr>
        <w:tab/>
        <w:t xml:space="preserve"> Geralmente essa condição é mencionada na cláusula de penalidades. A inexecução total ou parcial do contrato enseja a sua rescisão, com as consequências contratuais e as previstas em lei ou regulamento, conforme no art. 77 da Lei nº 8.666/1993.</w:t>
      </w:r>
    </w:p>
  </w:footnote>
  <w:footnote w:id="9">
    <w:p w:rsidR="00033926" w:rsidRDefault="002711A2">
      <w:pPr>
        <w:pStyle w:val="Textodenotaderodap"/>
        <w:widowControl w:val="0"/>
      </w:pPr>
      <w:r>
        <w:rPr>
          <w:rStyle w:val="FootnoteCharacters"/>
        </w:rPr>
        <w:footnoteRef/>
      </w:r>
      <w:r>
        <w:t xml:space="preserve"> </w:t>
      </w:r>
      <w:r>
        <w:rPr>
          <w:rFonts w:ascii="Times New Roman" w:hAnsi="Times New Roman"/>
          <w:sz w:val="14"/>
          <w:szCs w:val="14"/>
        </w:rPr>
        <w:t xml:space="preserve"> São elementos essenciais do extrato de publicação as partes, o objeto, a classificação ou dotação orçamentária, o valor, a vigência, data de assinatura do contrato e outros elementos pertinentes.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98" w:type="dxa"/>
      <w:tblInd w:w="-175" w:type="dxa"/>
      <w:tblLook w:val="04A0" w:firstRow="1" w:lastRow="0" w:firstColumn="1" w:lastColumn="0" w:noHBand="0" w:noVBand="1"/>
    </w:tblPr>
    <w:tblGrid>
      <w:gridCol w:w="5814"/>
      <w:gridCol w:w="4284"/>
    </w:tblGrid>
    <w:tr w:rsidR="001F3494" w:rsidRPr="008B64DD" w:rsidTr="001020C8">
      <w:trPr>
        <w:trHeight w:val="859"/>
      </w:trPr>
      <w:tc>
        <w:tcPr>
          <w:tcW w:w="5813" w:type="dxa"/>
          <w:hideMark/>
        </w:tcPr>
        <w:p w:rsidR="001F3494" w:rsidRPr="008B64DD" w:rsidRDefault="001F3494" w:rsidP="001020C8">
          <w:pPr>
            <w:tabs>
              <w:tab w:val="center" w:pos="4252"/>
              <w:tab w:val="right" w:pos="8504"/>
            </w:tabs>
            <w:suppressAutoHyphens w:val="0"/>
            <w:spacing w:after="0" w:line="240" w:lineRule="auto"/>
            <w:jc w:val="both"/>
            <w:rPr>
              <w:color w:val="000000"/>
            </w:rPr>
          </w:pPr>
          <w:r w:rsidRPr="008B64DD">
            <w:rPr>
              <w:rFonts w:cs="Arial"/>
              <w:noProof/>
              <w:sz w:val="20"/>
              <w:szCs w:val="20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13B371C4" wp14:editId="6620333C">
                <wp:simplePos x="0" y="0"/>
                <wp:positionH relativeFrom="margin">
                  <wp:posOffset>145415</wp:posOffset>
                </wp:positionH>
                <wp:positionV relativeFrom="margin">
                  <wp:posOffset>26670</wp:posOffset>
                </wp:positionV>
                <wp:extent cx="3144520" cy="533400"/>
                <wp:effectExtent l="0" t="0" r="0" b="0"/>
                <wp:wrapSquare wrapText="bothSides"/>
                <wp:docPr id="3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4520" cy="533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84" w:type="dxa"/>
          <w:hideMark/>
        </w:tcPr>
        <w:p w:rsidR="001F3494" w:rsidRPr="008B64DD" w:rsidRDefault="001F3494" w:rsidP="001020C8">
          <w:pPr>
            <w:tabs>
              <w:tab w:val="center" w:pos="4252"/>
              <w:tab w:val="right" w:pos="8504"/>
            </w:tabs>
            <w:suppressAutoHyphens w:val="0"/>
            <w:spacing w:after="0" w:line="240" w:lineRule="auto"/>
            <w:ind w:left="373" w:hanging="339"/>
            <w:rPr>
              <w:rFonts w:eastAsia="Times New Roman" w:cs="Calibri"/>
              <w:bCs/>
              <w:color w:val="000000"/>
              <w:sz w:val="18"/>
              <w:szCs w:val="18"/>
              <w:lang w:eastAsia="pt-BR"/>
            </w:rPr>
          </w:pPr>
          <w:r w:rsidRPr="008B64DD">
            <w:rPr>
              <w:rFonts w:eastAsia="Times New Roman" w:cs="Calibri"/>
              <w:bCs/>
              <w:color w:val="000000"/>
              <w:sz w:val="18"/>
              <w:szCs w:val="18"/>
              <w:lang w:eastAsia="pt-BR"/>
            </w:rPr>
            <w:t xml:space="preserve">Praça dos Girassóis, Esplanada das </w:t>
          </w:r>
          <w:proofErr w:type="gramStart"/>
          <w:r w:rsidRPr="008B64DD">
            <w:rPr>
              <w:rFonts w:eastAsia="Times New Roman" w:cs="Calibri"/>
              <w:bCs/>
              <w:color w:val="000000"/>
              <w:sz w:val="18"/>
              <w:szCs w:val="18"/>
              <w:lang w:eastAsia="pt-BR"/>
            </w:rPr>
            <w:t>Secretarias</w:t>
          </w:r>
          <w:proofErr w:type="gramEnd"/>
        </w:p>
        <w:p w:rsidR="001F3494" w:rsidRPr="008B64DD" w:rsidRDefault="001F3494" w:rsidP="001020C8">
          <w:pPr>
            <w:tabs>
              <w:tab w:val="center" w:pos="4252"/>
              <w:tab w:val="right" w:pos="8504"/>
            </w:tabs>
            <w:suppressAutoHyphens w:val="0"/>
            <w:spacing w:after="0" w:line="240" w:lineRule="auto"/>
            <w:ind w:left="373" w:hanging="339"/>
            <w:rPr>
              <w:rFonts w:cs="Calibri"/>
              <w:color w:val="000000"/>
              <w:sz w:val="18"/>
              <w:szCs w:val="18"/>
            </w:rPr>
          </w:pPr>
          <w:r w:rsidRPr="008B64DD">
            <w:rPr>
              <w:rFonts w:eastAsia="Times New Roman" w:cs="Calibri"/>
              <w:bCs/>
              <w:color w:val="000000"/>
              <w:sz w:val="18"/>
              <w:szCs w:val="18"/>
              <w:lang w:eastAsia="pt-BR"/>
            </w:rPr>
            <w:t xml:space="preserve">Av. NS-2, Prédio I, S/N, Plano Diretor </w:t>
          </w:r>
          <w:proofErr w:type="gramStart"/>
          <w:r w:rsidRPr="008B64DD">
            <w:rPr>
              <w:rFonts w:eastAsia="Times New Roman" w:cs="Calibri"/>
              <w:bCs/>
              <w:color w:val="000000"/>
              <w:sz w:val="18"/>
              <w:szCs w:val="18"/>
              <w:lang w:eastAsia="pt-BR"/>
            </w:rPr>
            <w:t>Norte</w:t>
          </w:r>
          <w:proofErr w:type="gramEnd"/>
          <w:r w:rsidRPr="008B64DD">
            <w:rPr>
              <w:rFonts w:cs="Calibri"/>
              <w:color w:val="000000"/>
              <w:sz w:val="18"/>
              <w:szCs w:val="18"/>
            </w:rPr>
            <w:t xml:space="preserve"> </w:t>
          </w:r>
        </w:p>
        <w:p w:rsidR="001F3494" w:rsidRPr="008B64DD" w:rsidRDefault="001F3494" w:rsidP="001020C8">
          <w:pPr>
            <w:tabs>
              <w:tab w:val="center" w:pos="4252"/>
              <w:tab w:val="right" w:pos="8504"/>
            </w:tabs>
            <w:suppressAutoHyphens w:val="0"/>
            <w:spacing w:after="0" w:line="240" w:lineRule="auto"/>
            <w:ind w:left="373" w:hanging="339"/>
            <w:rPr>
              <w:rFonts w:cs="Calibri"/>
              <w:color w:val="000000"/>
              <w:sz w:val="18"/>
              <w:szCs w:val="18"/>
            </w:rPr>
          </w:pPr>
          <w:r w:rsidRPr="008B64DD">
            <w:rPr>
              <w:rFonts w:cs="Calibri"/>
              <w:color w:val="000000"/>
              <w:sz w:val="18"/>
              <w:szCs w:val="18"/>
            </w:rPr>
            <w:t>Palmas – Tocantins – CEP: 77.001-002</w:t>
          </w:r>
        </w:p>
        <w:p w:rsidR="001F3494" w:rsidRPr="008B64DD" w:rsidRDefault="001F3494" w:rsidP="001020C8">
          <w:pPr>
            <w:tabs>
              <w:tab w:val="center" w:pos="4252"/>
              <w:tab w:val="right" w:pos="8504"/>
            </w:tabs>
            <w:suppressAutoHyphens w:val="0"/>
            <w:spacing w:after="0" w:line="240" w:lineRule="auto"/>
            <w:ind w:left="373" w:hanging="339"/>
            <w:rPr>
              <w:rFonts w:cs="Calibri"/>
              <w:color w:val="000000"/>
              <w:sz w:val="18"/>
              <w:szCs w:val="18"/>
            </w:rPr>
          </w:pPr>
          <w:proofErr w:type="spellStart"/>
          <w:r w:rsidRPr="008B64DD">
            <w:rPr>
              <w:rFonts w:cs="Calibri"/>
              <w:color w:val="000000"/>
              <w:sz w:val="18"/>
              <w:szCs w:val="18"/>
            </w:rPr>
            <w:t>Tel</w:t>
          </w:r>
          <w:proofErr w:type="spellEnd"/>
          <w:r w:rsidRPr="008B64DD">
            <w:rPr>
              <w:rFonts w:cs="Calibri"/>
              <w:color w:val="000000"/>
              <w:sz w:val="18"/>
              <w:szCs w:val="18"/>
            </w:rPr>
            <w:t>: +55 63 3218-2563</w:t>
          </w:r>
        </w:p>
        <w:p w:rsidR="001F3494" w:rsidRPr="008B64DD" w:rsidRDefault="001F3494" w:rsidP="001020C8">
          <w:pPr>
            <w:tabs>
              <w:tab w:val="center" w:pos="4252"/>
              <w:tab w:val="right" w:pos="8504"/>
            </w:tabs>
            <w:suppressAutoHyphens w:val="0"/>
            <w:spacing w:after="0" w:line="240" w:lineRule="auto"/>
            <w:ind w:left="373" w:hanging="339"/>
            <w:rPr>
              <w:color w:val="000000"/>
            </w:rPr>
          </w:pPr>
          <w:hyperlink r:id="rId2" w:history="1">
            <w:r w:rsidRPr="008B64DD">
              <w:rPr>
                <w:rFonts w:cs="Calibri"/>
                <w:color w:val="0000FF"/>
                <w:sz w:val="18"/>
                <w:szCs w:val="18"/>
                <w:u w:val="single"/>
              </w:rPr>
              <w:t>gabexecutivo@controladoria.to.gov.br</w:t>
            </w:r>
          </w:hyperlink>
          <w:r w:rsidRPr="008B64DD">
            <w:rPr>
              <w:rFonts w:cs="Calibri"/>
              <w:color w:val="000000"/>
              <w:sz w:val="18"/>
              <w:szCs w:val="18"/>
            </w:rPr>
            <w:t xml:space="preserve"> </w:t>
          </w:r>
        </w:p>
        <w:p w:rsidR="001F3494" w:rsidRPr="008B64DD" w:rsidRDefault="001F3494" w:rsidP="001020C8">
          <w:pPr>
            <w:tabs>
              <w:tab w:val="center" w:pos="4252"/>
              <w:tab w:val="right" w:pos="8504"/>
            </w:tabs>
            <w:suppressAutoHyphens w:val="0"/>
            <w:spacing w:after="0" w:line="240" w:lineRule="auto"/>
            <w:ind w:left="373" w:hanging="339"/>
            <w:rPr>
              <w:color w:val="000000"/>
            </w:rPr>
          </w:pPr>
          <w:hyperlink r:id="rId3" w:history="1">
            <w:r w:rsidRPr="008B64DD">
              <w:rPr>
                <w:rFonts w:cs="Calibri"/>
                <w:color w:val="0000FF"/>
                <w:sz w:val="18"/>
                <w:szCs w:val="18"/>
                <w:u w:val="single"/>
              </w:rPr>
              <w:t>www.to.gov.br/cge</w:t>
            </w:r>
          </w:hyperlink>
        </w:p>
      </w:tc>
    </w:tr>
  </w:tbl>
  <w:p w:rsidR="00033926" w:rsidRDefault="0003392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F048F"/>
    <w:multiLevelType w:val="multilevel"/>
    <w:tmpl w:val="2A509AE2"/>
    <w:lvl w:ilvl="0">
      <w:start w:val="1"/>
      <w:numFmt w:val="lowerLetter"/>
      <w:lvlText w:val="%1)"/>
      <w:lvlJc w:val="left"/>
      <w:pPr>
        <w:tabs>
          <w:tab w:val="num" w:pos="0"/>
        </w:tabs>
        <w:ind w:left="284" w:firstLine="0"/>
      </w:pPr>
      <w:rPr>
        <w:rFonts w:ascii="Times New Roman" w:eastAsia="Arial" w:hAnsi="Times New Roman" w:cs="Times New Roman"/>
        <w:b w:val="0"/>
        <w:i w:val="0"/>
        <w:strike w:val="0"/>
        <w:dstrike w:val="0"/>
        <w:color w:val="000000"/>
        <w:position w:val="0"/>
        <w:sz w:val="14"/>
        <w:szCs w:val="1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6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</w:abstractNum>
  <w:abstractNum w:abstractNumId="1">
    <w:nsid w:val="31F9650D"/>
    <w:multiLevelType w:val="multilevel"/>
    <w:tmpl w:val="D0280FCE"/>
    <w:lvl w:ilvl="0">
      <w:start w:val="1"/>
      <w:numFmt w:val="lowerLetter"/>
      <w:lvlText w:val="%1)"/>
      <w:lvlJc w:val="left"/>
      <w:pPr>
        <w:tabs>
          <w:tab w:val="num" w:pos="0"/>
        </w:tabs>
        <w:ind w:left="463" w:firstLine="0"/>
      </w:pPr>
      <w:rPr>
        <w:rFonts w:ascii="Times New Roman" w:eastAsia="Arial" w:hAnsi="Times New Roman" w:cs="Times New Roman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3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5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7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9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1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3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5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7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</w:abstractNum>
  <w:abstractNum w:abstractNumId="2">
    <w:nsid w:val="3B13041A"/>
    <w:multiLevelType w:val="multilevel"/>
    <w:tmpl w:val="02A85F6E"/>
    <w:lvl w:ilvl="0">
      <w:start w:val="1"/>
      <w:numFmt w:val="lowerLetter"/>
      <w:lvlText w:val="%1)"/>
      <w:lvlJc w:val="left"/>
      <w:pPr>
        <w:tabs>
          <w:tab w:val="num" w:pos="0"/>
        </w:tabs>
        <w:ind w:left="441" w:firstLine="0"/>
      </w:pPr>
      <w:rPr>
        <w:rFonts w:ascii="Times New Roman" w:eastAsia="Arial" w:hAnsi="Times New Roman" w:cs="Times New Roman"/>
        <w:b w:val="0"/>
        <w:i w:val="0"/>
        <w:strike w:val="0"/>
        <w:dstrike w:val="0"/>
        <w:color w:val="000000"/>
        <w:position w:val="0"/>
        <w:sz w:val="14"/>
        <w:szCs w:val="1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2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4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6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8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0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2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4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6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</w:abstractNum>
  <w:abstractNum w:abstractNumId="3">
    <w:nsid w:val="40006E73"/>
    <w:multiLevelType w:val="multilevel"/>
    <w:tmpl w:val="0FA4449C"/>
    <w:lvl w:ilvl="0">
      <w:start w:val="1"/>
      <w:numFmt w:val="lowerLetter"/>
      <w:lvlText w:val="%1)"/>
      <w:lvlJc w:val="left"/>
      <w:pPr>
        <w:tabs>
          <w:tab w:val="num" w:pos="0"/>
        </w:tabs>
        <w:ind w:left="760" w:hanging="360"/>
      </w:pPr>
      <w:rPr>
        <w:rFonts w:ascii="Times New Roman" w:hAnsi="Times New Roman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0" w:hanging="180"/>
      </w:pPr>
    </w:lvl>
  </w:abstractNum>
  <w:abstractNum w:abstractNumId="4">
    <w:nsid w:val="48DB2DEF"/>
    <w:multiLevelType w:val="multilevel"/>
    <w:tmpl w:val="E3FCE0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5BD675CA"/>
    <w:multiLevelType w:val="multilevel"/>
    <w:tmpl w:val="2660A2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6AFB720B"/>
    <w:multiLevelType w:val="multilevel"/>
    <w:tmpl w:val="C0E00748"/>
    <w:lvl w:ilvl="0">
      <w:start w:val="1"/>
      <w:numFmt w:val="lowerLetter"/>
      <w:lvlText w:val="%1)"/>
      <w:lvlJc w:val="left"/>
      <w:pPr>
        <w:tabs>
          <w:tab w:val="num" w:pos="0"/>
        </w:tabs>
        <w:ind w:left="1200" w:hanging="360"/>
      </w:pPr>
      <w:rPr>
        <w:rFonts w:ascii="Times New Roman" w:hAnsi="Times New Roman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60" w:hanging="180"/>
      </w:pPr>
    </w:lvl>
  </w:abstractNum>
  <w:abstractNum w:abstractNumId="7">
    <w:nsid w:val="7C192744"/>
    <w:multiLevelType w:val="multilevel"/>
    <w:tmpl w:val="4F62B892"/>
    <w:lvl w:ilvl="0">
      <w:start w:val="1"/>
      <w:numFmt w:val="lowerLetter"/>
      <w:lvlText w:val="%1)"/>
      <w:lvlJc w:val="left"/>
      <w:pPr>
        <w:tabs>
          <w:tab w:val="num" w:pos="0"/>
        </w:tabs>
        <w:ind w:left="1033" w:hanging="360"/>
      </w:pPr>
      <w:rPr>
        <w:rFonts w:ascii="Times New Roman" w:hAnsi="Times New Roman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5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7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9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1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3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5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7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93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3926"/>
    <w:rsid w:val="00033926"/>
    <w:rsid w:val="001F3494"/>
    <w:rsid w:val="002711A2"/>
    <w:rsid w:val="00A9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CB3"/>
    <w:pPr>
      <w:spacing w:after="200" w:line="276" w:lineRule="auto"/>
    </w:pPr>
    <w:rPr>
      <w:rFonts w:cs="Times New Roman"/>
    </w:rPr>
  </w:style>
  <w:style w:type="paragraph" w:styleId="Ttulo1">
    <w:name w:val="heading 1"/>
    <w:basedOn w:val="Normal"/>
    <w:next w:val="Normal"/>
    <w:link w:val="Ttulo1Char"/>
    <w:qFormat/>
    <w:rsid w:val="004D7CB3"/>
    <w:pPr>
      <w:keepNext/>
      <w:spacing w:after="0" w:line="240" w:lineRule="auto"/>
      <w:outlineLvl w:val="0"/>
    </w:pPr>
    <w:rPr>
      <w:rFonts w:ascii="Cambria" w:eastAsia="Times New Roman" w:hAnsi="Cambria"/>
      <w:b/>
      <w:bCs/>
      <w:kern w:val="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4D7CB3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4D7CB3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qFormat/>
    <w:rsid w:val="004D7CB3"/>
    <w:rPr>
      <w:rFonts w:ascii="Calibri" w:eastAsia="Calibri" w:hAnsi="Calibri" w:cs="Times New Roman"/>
    </w:rPr>
  </w:style>
  <w:style w:type="character" w:styleId="Nmerodepgina">
    <w:name w:val="page number"/>
    <w:basedOn w:val="Fontepargpadro"/>
    <w:qFormat/>
    <w:rsid w:val="004D7CB3"/>
  </w:style>
  <w:style w:type="character" w:customStyle="1" w:styleId="LinkdaInternet">
    <w:name w:val="Link da Internet"/>
    <w:basedOn w:val="Fontepargpadro"/>
    <w:qFormat/>
    <w:rsid w:val="004D7CB3"/>
    <w:rPr>
      <w:rFonts w:cs="Times New Roman"/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252DD"/>
    <w:rPr>
      <w:rFonts w:ascii="Tahoma" w:eastAsia="Calibri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792B41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792B41"/>
    <w:rPr>
      <w:rFonts w:ascii="Calibri" w:eastAsia="Calibri" w:hAnsi="Calibri" w:cs="Times New Roman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792B4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footnotedescriptionChar">
    <w:name w:val="footnote description Char"/>
    <w:qFormat/>
    <w:rsid w:val="00D572C5"/>
    <w:rPr>
      <w:rFonts w:ascii="Arial" w:eastAsia="Arial" w:hAnsi="Arial" w:cs="Arial"/>
      <w:color w:val="000000"/>
      <w:sz w:val="16"/>
      <w:lang w:eastAsia="pt-BR"/>
    </w:rPr>
  </w:style>
  <w:style w:type="character" w:customStyle="1" w:styleId="footnotemark">
    <w:name w:val="footnote mark"/>
    <w:qFormat/>
    <w:rsid w:val="00D572C5"/>
    <w:rPr>
      <w:rFonts w:ascii="Arial" w:eastAsia="Arial" w:hAnsi="Arial" w:cs="Arial"/>
      <w:b/>
      <w:color w:val="000000"/>
      <w:sz w:val="20"/>
      <w:vertAlign w:val="superscri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DD10CA"/>
    <w:rPr>
      <w:rFonts w:ascii="Calibri" w:eastAsia="Calibri" w:hAnsi="Calibri" w:cs="Times New Roman"/>
      <w:sz w:val="20"/>
      <w:szCs w:val="20"/>
    </w:rPr>
  </w:style>
  <w:style w:type="character" w:customStyle="1" w:styleId="ncoradanotaderodap">
    <w:name w:val="Âncora da nota de rodapé"/>
    <w:qFormat/>
    <w:rsid w:val="00EA4518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E05EF7"/>
    <w:rPr>
      <w:vertAlign w:val="superscript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sid w:val="00DE00ED"/>
    <w:rPr>
      <w:rFonts w:ascii="Calibri" w:eastAsia="Calibri" w:hAnsi="Calibri" w:cs="Times New Roman"/>
      <w:sz w:val="20"/>
      <w:szCs w:val="20"/>
    </w:rPr>
  </w:style>
  <w:style w:type="character" w:customStyle="1" w:styleId="ncoradanotadefim">
    <w:name w:val="Âncora da nota de fim"/>
    <w:qFormat/>
    <w:rsid w:val="00EA4518"/>
    <w:rPr>
      <w:vertAlign w:val="superscript"/>
    </w:rPr>
  </w:style>
  <w:style w:type="character" w:customStyle="1" w:styleId="EndnoteCharacters">
    <w:name w:val="Endnote Characters"/>
    <w:basedOn w:val="Fontepargpadro"/>
    <w:uiPriority w:val="99"/>
    <w:semiHidden/>
    <w:unhideWhenUsed/>
    <w:qFormat/>
    <w:rsid w:val="00DE00ED"/>
    <w:rPr>
      <w:vertAlign w:val="superscript"/>
    </w:rPr>
  </w:style>
  <w:style w:type="character" w:customStyle="1" w:styleId="Caracteresdenotaderodap">
    <w:name w:val="Caracteres de nota de rodapé"/>
    <w:qFormat/>
    <w:rsid w:val="00EA4518"/>
  </w:style>
  <w:style w:type="character" w:customStyle="1" w:styleId="Caracteresdenotadefim">
    <w:name w:val="Caracteres de nota de fim"/>
    <w:qFormat/>
    <w:rsid w:val="00EA4518"/>
  </w:style>
  <w:style w:type="character" w:customStyle="1" w:styleId="FootnoteAnchor">
    <w:name w:val="Footnote Anchor"/>
    <w:rPr>
      <w:vertAlign w:val="superscript"/>
    </w:rPr>
  </w:style>
  <w:style w:type="character" w:styleId="Hyperlink">
    <w:name w:val="Hyperlink"/>
    <w:rPr>
      <w:color w:val="000080"/>
      <w:u w:val="single"/>
    </w:rPr>
  </w:style>
  <w:style w:type="character" w:customStyle="1" w:styleId="EndnoteAnchor">
    <w:name w:val="Endnote Anchor"/>
    <w:rPr>
      <w:vertAlign w:val="superscript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Source Han Sans CN" w:hAnsi="Liberation Sans" w:cs="Noto Sans Devanagari"/>
      <w:sz w:val="28"/>
      <w:szCs w:val="28"/>
    </w:rPr>
  </w:style>
  <w:style w:type="paragraph" w:styleId="Corpodetexto">
    <w:name w:val="Body Text"/>
    <w:basedOn w:val="Normal"/>
    <w:rsid w:val="00EA4518"/>
    <w:pPr>
      <w:spacing w:after="140"/>
    </w:pPr>
  </w:style>
  <w:style w:type="paragraph" w:styleId="Lista">
    <w:name w:val="List"/>
    <w:basedOn w:val="Corpodetexto"/>
    <w:rsid w:val="00EA4518"/>
    <w:rPr>
      <w:rFonts w:cs="Mangal"/>
    </w:rPr>
  </w:style>
  <w:style w:type="paragraph" w:styleId="Legenda">
    <w:name w:val="caption"/>
    <w:basedOn w:val="Normal"/>
    <w:qFormat/>
    <w:rsid w:val="00EA451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tulo">
    <w:name w:val="Title"/>
    <w:basedOn w:val="Normal"/>
    <w:next w:val="Corpodetexto"/>
    <w:qFormat/>
    <w:rsid w:val="00EA451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dice">
    <w:name w:val="Índice"/>
    <w:basedOn w:val="Normal"/>
    <w:qFormat/>
    <w:rsid w:val="00EA4518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rsid w:val="00EA4518"/>
  </w:style>
  <w:style w:type="paragraph" w:customStyle="1" w:styleId="HeaderandFooter">
    <w:name w:val="Header and Footer"/>
    <w:basedOn w:val="Normal"/>
    <w:qFormat/>
  </w:style>
  <w:style w:type="paragraph" w:styleId="Cabealho">
    <w:name w:val="header"/>
    <w:basedOn w:val="Normal"/>
    <w:link w:val="CabealhoChar"/>
    <w:unhideWhenUsed/>
    <w:rsid w:val="004D7CB3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D7CB3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D7CB3"/>
    <w:pPr>
      <w:ind w:left="708"/>
    </w:pPr>
    <w:rPr>
      <w:rFonts w:cs="Calibri"/>
    </w:rPr>
  </w:style>
  <w:style w:type="paragraph" w:styleId="Commarcadores">
    <w:name w:val="List Bullet"/>
    <w:basedOn w:val="Normal"/>
    <w:qFormat/>
    <w:rsid w:val="004D7CB3"/>
    <w:p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CU-RelVoto-demais">
    <w:name w:val="TCU - Rel/Voto - demais §§"/>
    <w:basedOn w:val="Normal"/>
    <w:qFormat/>
    <w:rsid w:val="004D7CB3"/>
    <w:pPr>
      <w:tabs>
        <w:tab w:val="left" w:pos="1134"/>
      </w:tabs>
      <w:spacing w:after="160" w:line="240" w:lineRule="auto"/>
      <w:jc w:val="both"/>
    </w:pPr>
    <w:rPr>
      <w:rFonts w:ascii="Times New Roman" w:eastAsia="Times New Roman" w:hAnsi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252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792B41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792B41"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C607A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footnotedescription">
    <w:name w:val="footnote description"/>
    <w:next w:val="Normal"/>
    <w:qFormat/>
    <w:rsid w:val="00D572C5"/>
    <w:pPr>
      <w:spacing w:line="266" w:lineRule="auto"/>
      <w:ind w:left="141" w:hanging="141"/>
      <w:jc w:val="both"/>
    </w:pPr>
    <w:rPr>
      <w:rFonts w:ascii="Arial" w:eastAsia="Arial" w:hAnsi="Arial" w:cs="Arial"/>
      <w:color w:val="000000"/>
      <w:sz w:val="16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10CA"/>
    <w:pPr>
      <w:spacing w:after="0" w:line="240" w:lineRule="auto"/>
    </w:pPr>
    <w:rPr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E00ED"/>
    <w:pPr>
      <w:spacing w:after="0" w:line="240" w:lineRule="auto"/>
    </w:pPr>
    <w:rPr>
      <w:sz w:val="20"/>
      <w:szCs w:val="20"/>
    </w:rPr>
  </w:style>
  <w:style w:type="table" w:styleId="Tabelacomgrade">
    <w:name w:val="Table Grid"/>
    <w:basedOn w:val="Tabelanormal"/>
    <w:rsid w:val="004D7CB3"/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572C5"/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estao.cge.to.gov.b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o.gov.br/cge" TargetMode="External"/><Relationship Id="rId2" Type="http://schemas.openxmlformats.org/officeDocument/2006/relationships/hyperlink" Target="mailto:gabexecutivo@controladoria.to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9E9F2-DDBF-496C-8850-6D8256304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1327</Words>
  <Characters>7167</Characters>
  <Application>Microsoft Office Word</Application>
  <DocSecurity>0</DocSecurity>
  <Lines>59</Lines>
  <Paragraphs>16</Paragraphs>
  <ScaleCrop>false</ScaleCrop>
  <Company/>
  <LinksUpToDate>false</LinksUpToDate>
  <CharactersWithSpaces>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BURGEL DE CASTRO</dc:creator>
  <dc:description/>
  <cp:lastModifiedBy>AMANDA FELIX RIBEIRO</cp:lastModifiedBy>
  <cp:revision>17</cp:revision>
  <cp:lastPrinted>2017-10-26T12:30:00Z</cp:lastPrinted>
  <dcterms:created xsi:type="dcterms:W3CDTF">2019-05-09T14:10:00Z</dcterms:created>
  <dcterms:modified xsi:type="dcterms:W3CDTF">2021-08-30T19:13:00Z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