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40" w:rsidRDefault="00E252E1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eastAsia="Arial" w:hAnsi="Times New Roman" w:cs="Times New Roman"/>
          <w:b/>
        </w:rPr>
        <w:t>CHECKLIST</w:t>
      </w:r>
      <w:proofErr w:type="spellEnd"/>
    </w:p>
    <w:p w:rsidR="005E1340" w:rsidRDefault="005E1340">
      <w:pPr>
        <w:spacing w:line="276" w:lineRule="auto"/>
        <w:jc w:val="center"/>
        <w:rPr>
          <w:rFonts w:ascii="Times New Roman" w:eastAsia="Arial" w:hAnsi="Times New Roman" w:cs="Times New Roman"/>
          <w:b/>
        </w:rPr>
      </w:pPr>
    </w:p>
    <w:p w:rsidR="005E1340" w:rsidRDefault="00E252E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u w:val="single"/>
        </w:rPr>
        <w:t>Alteração de Contrato</w:t>
      </w:r>
    </w:p>
    <w:p w:rsidR="005E1340" w:rsidRDefault="005E1340">
      <w:pPr>
        <w:spacing w:line="360" w:lineRule="auto"/>
        <w:rPr>
          <w:rFonts w:ascii="Times New Roman" w:eastAsia="Arial" w:hAnsi="Times New Roman" w:cs="Times New Roman"/>
          <w:b/>
          <w:u w:val="single"/>
        </w:rPr>
      </w:pPr>
    </w:p>
    <w:p w:rsidR="005E1340" w:rsidRDefault="00E252E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Órgão/Entidade: ______________________________________________________________________________________</w:t>
      </w:r>
    </w:p>
    <w:p w:rsidR="005E1340" w:rsidRDefault="00E252E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>Processo nº: __________________________________________________________________________________________</w:t>
      </w:r>
    </w:p>
    <w:p w:rsidR="005E1340" w:rsidRDefault="00E252E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Contrato </w:t>
      </w:r>
      <w:r>
        <w:rPr>
          <w:rFonts w:ascii="Times New Roman" w:eastAsia="Arial" w:hAnsi="Times New Roman" w:cs="Times New Roman"/>
          <w:sz w:val="18"/>
          <w:szCs w:val="18"/>
        </w:rPr>
        <w:t>nº:______________________________ Período de vigência: ___________________________________________</w:t>
      </w:r>
    </w:p>
    <w:p w:rsidR="005E1340" w:rsidRDefault="005E1340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E1340" w:rsidRDefault="00E252E1">
      <w:pPr>
        <w:widowControl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Alteração dos Contratos administrativos</w:t>
      </w:r>
      <w:r>
        <w:rPr>
          <w:rFonts w:ascii="Times New Roman" w:eastAsia="Arial" w:hAnsi="Times New Roman" w:cs="Times New Roman"/>
          <w:sz w:val="18"/>
          <w:szCs w:val="18"/>
        </w:rPr>
        <w:t xml:space="preserve"> é uma exigência legítima, preceito de ordem pública e, para tanto, a lei específica elenca as condições possíveis de</w:t>
      </w:r>
      <w:r>
        <w:rPr>
          <w:rFonts w:ascii="Times New Roman" w:eastAsia="Arial" w:hAnsi="Times New Roman" w:cs="Times New Roman"/>
          <w:sz w:val="18"/>
          <w:szCs w:val="18"/>
        </w:rPr>
        <w:t>ssas modificações.</w:t>
      </w:r>
      <w:r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18"/>
          <w:szCs w:val="18"/>
        </w:rPr>
        <w:t xml:space="preserve">O artigo 65, Seção </w:t>
      </w:r>
      <w:proofErr w:type="spellStart"/>
      <w:r>
        <w:rPr>
          <w:rFonts w:ascii="Times New Roman" w:eastAsia="Arial" w:hAnsi="Times New Roman" w:cs="Times New Roman"/>
          <w:sz w:val="18"/>
          <w:szCs w:val="18"/>
        </w:rPr>
        <w:t>III</w:t>
      </w:r>
      <w:proofErr w:type="spellEnd"/>
      <w:r>
        <w:rPr>
          <w:rFonts w:ascii="Times New Roman" w:eastAsia="Arial" w:hAnsi="Times New Roman" w:cs="Times New Roman"/>
          <w:sz w:val="18"/>
          <w:szCs w:val="18"/>
        </w:rPr>
        <w:t xml:space="preserve">, da Lei Nº 8.666/93, que regulamenta o art. 37, inciso </w:t>
      </w:r>
      <w:proofErr w:type="spellStart"/>
      <w:r>
        <w:rPr>
          <w:rFonts w:ascii="Times New Roman" w:eastAsia="Arial" w:hAnsi="Times New Roman" w:cs="Times New Roman"/>
          <w:sz w:val="18"/>
          <w:szCs w:val="18"/>
        </w:rPr>
        <w:t>XXI</w:t>
      </w:r>
      <w:proofErr w:type="spellEnd"/>
      <w:r>
        <w:rPr>
          <w:rFonts w:ascii="Times New Roman" w:eastAsia="Arial" w:hAnsi="Times New Roman" w:cs="Times New Roman"/>
          <w:sz w:val="18"/>
          <w:szCs w:val="18"/>
        </w:rPr>
        <w:t xml:space="preserve"> da Constituição Federal, dispõe sobre a alteração dos contratos administrativos, reclamando as justificativas necessárias para as modificações.</w:t>
      </w:r>
    </w:p>
    <w:p w:rsidR="005E1340" w:rsidRDefault="005E1340">
      <w:pPr>
        <w:spacing w:line="360" w:lineRule="auto"/>
        <w:ind w:right="-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1340" w:rsidRDefault="00E252E1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Legenda: S</w:t>
      </w:r>
      <w:r>
        <w:rPr>
          <w:rFonts w:ascii="Times New Roman" w:eastAsia="Arial" w:hAnsi="Times New Roman" w:cs="Times New Roman"/>
          <w:b/>
          <w:sz w:val="18"/>
          <w:szCs w:val="18"/>
        </w:rPr>
        <w:t xml:space="preserve"> = Sim; N = Não; NA = Não se Aplica</w:t>
      </w:r>
      <w:r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09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5"/>
        <w:gridCol w:w="1974"/>
        <w:gridCol w:w="852"/>
        <w:gridCol w:w="727"/>
      </w:tblGrid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E1340" w:rsidRDefault="00E252E1">
            <w:pPr>
              <w:widowControl w:val="0"/>
              <w:spacing w:line="276" w:lineRule="auto"/>
              <w:ind w:left="5" w:right="142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Exigências para Formalização de Procedimentos para </w:t>
            </w:r>
          </w:p>
          <w:p w:rsidR="005E1340" w:rsidRDefault="00E252E1">
            <w:pPr>
              <w:widowControl w:val="0"/>
              <w:spacing w:line="276" w:lineRule="auto"/>
              <w:ind w:left="5"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Alteração de Contrato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E1340" w:rsidRDefault="00E252E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E1340" w:rsidRDefault="00E252E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E1340" w:rsidRDefault="00E252E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Consta a justificativa da autoridade competente para alteração contratual, em conformidade com a cláusula prevista no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contrato para prorrogação de prazo ou alteração do valor? (art. 57, § 2º c/c art. 65 da Lei nº 8.666/93 e Decreto de Execução Orçamentário vigente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cópia do contrato e planilhas?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371" w:right="14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Quando a alteração se der unilateralmente pela Administração,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mediante justificativa, esta decorreu da: (art. 65, inciso I, alínea “a” e “b”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3"/>
              </w:numPr>
              <w:spacing w:line="252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Modificação do projeto ou das especificações para melhor adequação técnica aos objetivos da Administração?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3"/>
              </w:numPr>
              <w:spacing w:line="252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Modificação necessária do valor contratual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 decorrência de acréscimo ou diminuição quantitativa de seu objeto, nos limites permitidos na Lei Federal nº 8.666/1993?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371" w:right="14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Quando a alteração se der por acordo entre as partes, mediante justificativa, esta decorreu:</w:t>
            </w: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7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Conveniência de substituição da garantia de execução? (art. 65, inciso II, “a”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71" w:right="5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Necessidade de modificação do regime de execução da obra ou serviço, bem como do modo de fornecimento, em face de verificação técnica 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inaplicabilidade dos termos contratuais originários? (art. 65, inciso II, “b”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7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Necessidade de modificação da forma de pagamento, por imposição de circunstâncias superveniente mantida o valor inicial atualizado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(art. 65, inciso II,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“c”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371" w:right="5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Restabelecimento da relação em que as partes pactuaram inicialmente entre os encargos do contratado e a retribuição da administração para a justa remuneração da obra, serviço ou fornecimento, objetivando a manutenção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equilíbrio econômico-financeiro inicial do contrato, na hipótese de sobrevirem fatos imprevisíveis,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ou previsíveis, porém de consequências incalculáveis,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retardadores ou impeditivos da execução do ajustado, ou, ainda, em caso de força maior, caso fortuito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fato do príncipe, configurando área econômica extraordinária e extracontratual? (art. 65, inciso II, “d”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5"/>
              </w:numPr>
              <w:spacing w:line="252" w:lineRule="auto"/>
              <w:ind w:left="371" w:right="55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 hipótese de acréscimo nas obras, serviços ou compras, foi observado o limite legal (até 25% do valor inicial atualizado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 contrato ou, no caso de particular de reforma de edifício ou de equipamento, até 50% do valor inicial)?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(art. 65, §1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5"/>
              </w:numPr>
              <w:spacing w:line="252" w:lineRule="auto"/>
              <w:ind w:left="37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caso de supressão nas obras, serviços ou compras, foi observado o limite de 25% do valor inicial atualizado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contrato?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(art. 65, §2º, inciso II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40" w:rsidRDefault="00E252E1">
            <w:pPr>
              <w:widowControl w:val="0"/>
              <w:numPr>
                <w:ilvl w:val="0"/>
                <w:numId w:val="5"/>
              </w:numPr>
              <w:spacing w:line="252" w:lineRule="auto"/>
              <w:ind w:left="37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hipótese de variação do valor contratual, esta decorreu de reajuste de preços ou atualizações previstas nos dispositivos contratuais? (Art. 65, §1º e §8º da Lei nº 8.666/93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(Princípio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 Economicidade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340" w:rsidRDefault="00E252E1">
            <w:pPr>
              <w:widowControl w:val="0"/>
              <w:numPr>
                <w:ilvl w:val="0"/>
                <w:numId w:val="5"/>
              </w:numPr>
              <w:spacing w:line="252" w:lineRule="auto"/>
              <w:ind w:left="37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hipótese de alteração de cláusulas econômico-financeiras e monetárias, está se deu com manifestação prévia de concordância do contratado? (art. 58, §1º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No caso de prorrogação do contrato com base no art. 57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(serviços continuados) consta orçamento que demonstra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vantajosidade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da prorrogação (no caso de aplicação de qualquer dos incisos do art. 57 da Lei n. 8.666/93).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memória de cálculo emitida pelo fiscal relativa às alterações realizadas que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motivaram a solicitação ou planilha referente ao Termo Aditivo?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art. 67, § 1º e 8º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demonstrativo do índice de reajuste dos últimos 12 (doze) meses, no caso de contrato de locação?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art. 65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 Lei nº 8.666/93)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9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hipótese de eventuais prorrogações de prazo de início de etapas de execução, de conclusão e de entrega, desde que mantidas as demais cláusulas e assegurado o equilíbrio financeiro, esta ocorreu em razão de algum dos motivos listados a seguir? </w:t>
            </w: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pStyle w:val="PargrafodaLista"/>
              <w:widowControl w:val="0"/>
              <w:numPr>
                <w:ilvl w:val="0"/>
                <w:numId w:val="6"/>
              </w:numPr>
              <w:spacing w:after="0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Alteração do objeto ou especificações pelo órgão ou entidade contratante? (art. 57, § 1º, inc. I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pStyle w:val="PargrafodaLista"/>
              <w:widowControl w:val="0"/>
              <w:numPr>
                <w:ilvl w:val="0"/>
                <w:numId w:val="6"/>
              </w:numPr>
              <w:spacing w:after="0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Superveniência de fato excepcional ou imprevisível, estranho à vontade das partes, podendo pelo caráter excepcional e sendo devidamente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justificado e com autorização da autoridade superior, ser prorrogado por até doze (12) meses? (art. 57, § 1º, inc. I e § 4º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pStyle w:val="PargrafodaLista"/>
              <w:widowControl w:val="0"/>
              <w:numPr>
                <w:ilvl w:val="0"/>
                <w:numId w:val="6"/>
              </w:numPr>
              <w:spacing w:after="0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Interrupção ou diminuição da execução dos trabalhos por interesse da Administração? (art. 57, § 1º,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pStyle w:val="PargrafodaLista"/>
              <w:widowControl w:val="0"/>
              <w:numPr>
                <w:ilvl w:val="0"/>
                <w:numId w:val="6"/>
              </w:numPr>
              <w:spacing w:after="0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Aumento das quantidades inicialmente previstas no contrato, nos limites da lei (termo aditivo,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apostilamento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)? (art. 57, § 1º,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pStyle w:val="PargrafodaLista"/>
              <w:widowControl w:val="0"/>
              <w:numPr>
                <w:ilvl w:val="0"/>
                <w:numId w:val="6"/>
              </w:numPr>
              <w:spacing w:after="0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Impedimento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5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execução do contrato por fato ou ato de terceiro reconhecido pela Administração em documento contemporâneo à sua ocorrência? (art. 57, § 1º, inc. V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pStyle w:val="PargrafodaLista"/>
              <w:widowControl w:val="0"/>
              <w:numPr>
                <w:ilvl w:val="0"/>
                <w:numId w:val="6"/>
              </w:numPr>
              <w:spacing w:after="0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Omissão ou atraso de providências a cargo da Administração, inclusive quanto aos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pagamentos previstos de que resulte, diretamente, impedimento ou retardamento na execução do contrato? (art. 57, § 1º, inc. VI da Lei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 xml:space="preserve">Consta manifestação das partes no caso de haver interesse de 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lastRenderedPageBreak/>
              <w:t xml:space="preserve">prorrogação do contrato dentro do prazo </w:t>
            </w:r>
            <w:r>
              <w:rPr>
                <w:rFonts w:ascii="Times New Roman" w:hAnsi="Times New Roman" w:cs="Times New Roman"/>
                <w:sz w:val="18"/>
                <w:szCs w:val="18"/>
                <w:lang w:eastAsia="pt-BR"/>
              </w:rPr>
              <w:t>vigente do contrato?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Consta a Ordem de Serviço com a data de início da obra, e conforme o caso, das ordens de paralisação e de reinício da obra?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art. 65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Lei nº 8.666/93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Consta, no caso de prorrogação de prazo, a data prevista para o término da obra? (art. 65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Lei nº 8.666/93)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garantia da execução do contrato ou existe substituição da mesma, quando for o caso? (art. 65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Lei nº 8.666/93)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termo aditivo foi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celebrado dentro do prazo de execução contratual? (art. 27 da IN/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/TO nº 02/2008)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Detalhamento da Dotação –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e/ou declaração orçamentária, quando se tratar de recursos relativos ao exercício seguinte? (a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rt. 58 da Lei Federal nº 4.320/64;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rt. 23, inc. I do Decreto Orçamentário nº 6.237/2021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Parecer da Assessoria Jurídica do órgão e/ou da Procuradoria Geral do Estado? (art. 38, parágrafo único, 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Lei nº 8.666/93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Termo Aditivo formalizado e assinado pelas partes? (art. 38, inciso X c/c art. 60 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Lei nº 8.666/93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publicação do extrato do Termo Aditivo na imprensa oficial? (art. 61, parágrafo único, da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Lei nº 8.666/93 c/c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rt. 20, § 2º da IN/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/TO nº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02/2008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01/2019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comprovante do lançamento do termo do contrato no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SICAP-LO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quando for o caso? (IN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nº 10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/2008)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1340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E252E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1" w:right="142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Foram inseridas as informações do contrato no Sistema de Acompanhamento de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Contratos, ou em outro que vier a substituí-lo (</w:t>
            </w:r>
            <w:hyperlink r:id="rId8">
              <w:r>
                <w:rPr>
                  <w:rStyle w:val="Hyperlink"/>
                  <w:rFonts w:ascii="Times New Roman" w:eastAsia="Arial" w:hAnsi="Times New Roman" w:cs="Times New Roman"/>
                  <w:sz w:val="18"/>
                  <w:szCs w:val="18"/>
                </w:rPr>
                <w:t>www.gestao.cge.to.gov.br</w:t>
              </w:r>
            </w:hyperlink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)? (art. 45,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“c” do Decreto Orçamentário nº 6.237/2021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E1340" w:rsidRDefault="005E1340">
      <w:pPr>
        <w:rPr>
          <w:rFonts w:ascii="Times New Roman" w:hAnsi="Times New Roman" w:cs="Times New Roman"/>
          <w:b/>
          <w:sz w:val="18"/>
          <w:szCs w:val="18"/>
        </w:rPr>
      </w:pPr>
    </w:p>
    <w:p w:rsidR="005E1340" w:rsidRDefault="00E252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Apontamentos:</w:t>
      </w:r>
    </w:p>
    <w:tbl>
      <w:tblPr>
        <w:tblW w:w="90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5E1340"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1340"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1340"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1340"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340" w:rsidRDefault="005E1340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E1340" w:rsidRDefault="005E1340">
      <w:pPr>
        <w:rPr>
          <w:rFonts w:ascii="Times New Roman" w:eastAsia="Arial" w:hAnsi="Times New Roman" w:cs="Times New Roman"/>
          <w:b/>
          <w:sz w:val="18"/>
          <w:szCs w:val="18"/>
        </w:rPr>
      </w:pPr>
    </w:p>
    <w:p w:rsidR="005E1340" w:rsidRDefault="00E252E1">
      <w:pPr>
        <w:jc w:val="center"/>
        <w:rPr>
          <w:rFonts w:ascii="Times New Roman" w:eastAsia="Arial" w:hAnsi="Times New Roman" w:cs="Times New Roman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Assinatura e Matrícula do Servidor</w:t>
      </w:r>
    </w:p>
    <w:p w:rsidR="005E1340" w:rsidRDefault="005E1340">
      <w:pPr>
        <w:rPr>
          <w:rFonts w:ascii="Times New Roman" w:hAnsi="Times New Roman" w:cs="Times New Roman"/>
          <w:sz w:val="18"/>
          <w:szCs w:val="18"/>
        </w:rPr>
      </w:pPr>
    </w:p>
    <w:sectPr w:rsidR="005E1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285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52E1">
      <w:r>
        <w:separator/>
      </w:r>
    </w:p>
  </w:endnote>
  <w:endnote w:type="continuationSeparator" w:id="0">
    <w:p w:rsidR="00000000" w:rsidRDefault="00E2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E1" w:rsidRDefault="00E252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E1" w:rsidRDefault="00E252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E1" w:rsidRDefault="00E252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40" w:rsidRDefault="00E252E1">
      <w:pPr>
        <w:rPr>
          <w:sz w:val="12"/>
        </w:rPr>
      </w:pPr>
      <w:r>
        <w:separator/>
      </w:r>
    </w:p>
  </w:footnote>
  <w:footnote w:type="continuationSeparator" w:id="0">
    <w:p w:rsidR="005E1340" w:rsidRDefault="00E252E1">
      <w:pPr>
        <w:rPr>
          <w:sz w:val="12"/>
        </w:rPr>
      </w:pPr>
      <w:r>
        <w:continuationSeparator/>
      </w:r>
    </w:p>
  </w:footnote>
  <w:footnote w:id="1">
    <w:p w:rsidR="005E1340" w:rsidRDefault="00E252E1">
      <w:pPr>
        <w:pStyle w:val="footnotedescription"/>
        <w:widowControl w:val="0"/>
        <w:ind w:left="211" w:right="43" w:hanging="211"/>
        <w:rPr>
          <w:rFonts w:ascii="Times New Roman" w:hAnsi="Times New Roman" w:cs="Times New Roman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ab/>
        <w:t xml:space="preserve"> </w:t>
      </w:r>
      <w:proofErr w:type="gramStart"/>
      <w:r>
        <w:rPr>
          <w:rFonts w:ascii="Times New Roman" w:hAnsi="Times New Roman" w:cs="Times New Roman"/>
          <w:szCs w:val="16"/>
        </w:rPr>
        <w:t>Conforme disposto no § 1º do art. 65 da Lei Federal nº 8.666/1993 o contratado fica obrigado a aceitar, nas mesmas condições contratuais, os acréscimos ou supressões que se fizerem nas obras, serviços ou compras, até 25% (vinte e cinco por cento) do valo</w:t>
      </w:r>
      <w:r>
        <w:rPr>
          <w:rFonts w:ascii="Times New Roman" w:hAnsi="Times New Roman" w:cs="Times New Roman"/>
          <w:szCs w:val="16"/>
        </w:rPr>
        <w:t>r inicial atualizado do contrato, e, no caso particular de reforma de edifício ou de equipamento, até o limite de 50% (cinquenta por cento) para os seus acréscimos.</w:t>
      </w:r>
      <w:proofErr w:type="gramEnd"/>
      <w:r>
        <w:rPr>
          <w:rFonts w:ascii="Times New Roman" w:hAnsi="Times New Roman" w:cs="Times New Roman"/>
          <w:szCs w:val="16"/>
        </w:rPr>
        <w:t xml:space="preserve"> Nenhum acréscimo ou supressão poderá exceder os limites estabelecidos, salvo a supressão re</w:t>
      </w:r>
      <w:r>
        <w:rPr>
          <w:rFonts w:ascii="Times New Roman" w:hAnsi="Times New Roman" w:cs="Times New Roman"/>
          <w:szCs w:val="16"/>
        </w:rPr>
        <w:t xml:space="preserve">sultante de acordo celebrado entre as partes. </w:t>
      </w:r>
    </w:p>
    <w:p w:rsidR="005E1340" w:rsidRDefault="00E252E1">
      <w:pPr>
        <w:pStyle w:val="footnotedescription"/>
        <w:widowControl w:val="0"/>
        <w:spacing w:line="252" w:lineRule="auto"/>
        <w:ind w:left="211" w:firstLine="0"/>
      </w:pPr>
      <w:r>
        <w:rPr>
          <w:rFonts w:ascii="Times New Roman" w:hAnsi="Times New Roman" w:cs="Times New Roman"/>
          <w:szCs w:val="16"/>
        </w:rPr>
        <w:t>Em havendo alteração unilateral do contrato que aumente os encargos do contratado, a Administração deverá restabelecer, por aditamento, o equilíbrio econômico-financeiro inicial.</w:t>
      </w:r>
      <w:r>
        <w:t xml:space="preserve"> </w:t>
      </w:r>
    </w:p>
  </w:footnote>
  <w:footnote w:id="2">
    <w:p w:rsidR="005E1340" w:rsidRDefault="00E252E1">
      <w:pPr>
        <w:pStyle w:val="footnotedescription"/>
        <w:widowControl w:val="0"/>
        <w:spacing w:after="54" w:line="252" w:lineRule="auto"/>
        <w:ind w:left="142" w:hanging="142"/>
        <w:rPr>
          <w:rFonts w:ascii="Times New Roman" w:hAnsi="Times New Roman" w:cs="Times New Roman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ab/>
        <w:t xml:space="preserve"> É vedada a antecipação do </w:t>
      </w:r>
      <w:r>
        <w:rPr>
          <w:rFonts w:ascii="Times New Roman" w:hAnsi="Times New Roman" w:cs="Times New Roman"/>
          <w:szCs w:val="16"/>
        </w:rPr>
        <w:t xml:space="preserve">pagamento, com relação ao cronograma financeiro fixado, sem a correspondente contraprestação de fornecimento de bens ou execução de obra ou serviço. </w:t>
      </w:r>
    </w:p>
  </w:footnote>
  <w:footnote w:id="3">
    <w:p w:rsidR="005E1340" w:rsidRDefault="00E252E1">
      <w:pPr>
        <w:pStyle w:val="Textodenotaderodap"/>
        <w:widowControl w:val="0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eastAsia="Arial" w:hAnsi="Times New Roman" w:cs="Times New Roman"/>
          <w:b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A variação do valor contratual para fazer face ao reajuste de preços previsto no próprio contrato, as a</w:t>
      </w:r>
      <w:r>
        <w:rPr>
          <w:rFonts w:ascii="Times New Roman" w:hAnsi="Times New Roman" w:cs="Times New Roman"/>
          <w:sz w:val="16"/>
          <w:szCs w:val="16"/>
        </w:rPr>
        <w:t xml:space="preserve">tualizações, compensações ou penalizações financeiras decorrentes das condições de pagamento nele previstas, bem como o empenho de dotações orçamentárias suplementares até o limite do seu valor corrigido não caracterizam alteração do Contrato, podendo ser </w:t>
      </w:r>
      <w:r>
        <w:rPr>
          <w:rFonts w:ascii="Times New Roman" w:hAnsi="Times New Roman" w:cs="Times New Roman"/>
          <w:sz w:val="16"/>
          <w:szCs w:val="16"/>
        </w:rPr>
        <w:t>registrados por simples apostila, dispensando a celebração de aditamento, conforme disposto no art. 65, § 8º da Lei Federal nº 8.666/</w:t>
      </w:r>
      <w:proofErr w:type="gramStart"/>
      <w:r>
        <w:rPr>
          <w:rFonts w:ascii="Times New Roman" w:hAnsi="Times New Roman" w:cs="Times New Roman"/>
          <w:sz w:val="16"/>
          <w:szCs w:val="16"/>
        </w:rPr>
        <w:t>1993</w:t>
      </w:r>
      <w:proofErr w:type="gramEnd"/>
    </w:p>
  </w:footnote>
  <w:footnote w:id="4">
    <w:p w:rsidR="005E1340" w:rsidRDefault="00E252E1">
      <w:pPr>
        <w:pStyle w:val="footnotedescription"/>
        <w:widowControl w:val="0"/>
        <w:spacing w:line="276" w:lineRule="auto"/>
        <w:ind w:left="142" w:hanging="142"/>
        <w:rPr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ab/>
        <w:t xml:space="preserve"> Nenhum acréscimo ou supressão poderá exceder os limites estabelecidos no § 1º do art. 65 da Lei Federal nº </w:t>
      </w:r>
      <w:r>
        <w:rPr>
          <w:rFonts w:ascii="Times New Roman" w:hAnsi="Times New Roman" w:cs="Times New Roman"/>
          <w:szCs w:val="16"/>
        </w:rPr>
        <w:t xml:space="preserve">8666/1993, salvo as supressões resultantes de acordos celebrados entre os contratantes, conforme disposto no inciso II do § 2º do art. 65 da referida </w:t>
      </w:r>
      <w:proofErr w:type="gramStart"/>
      <w:r>
        <w:rPr>
          <w:rFonts w:ascii="Times New Roman" w:hAnsi="Times New Roman" w:cs="Times New Roman"/>
          <w:szCs w:val="16"/>
        </w:rPr>
        <w:t>Lei</w:t>
      </w:r>
      <w:proofErr w:type="gramEnd"/>
    </w:p>
  </w:footnote>
  <w:footnote w:id="5">
    <w:p w:rsidR="005E1340" w:rsidRDefault="00E252E1">
      <w:pPr>
        <w:pStyle w:val="Textodenotaderodap"/>
        <w:widowControl w:val="0"/>
        <w:rPr>
          <w:rFonts w:ascii="Times New Roman" w:hAnsi="Times New Roman" w:cs="Times New Roman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Ocorrendo impedimento, paralisação ou sustação do contrato, o cronograma de execução será prorrogado automaticamente por igual tempo, conforme art. 79, § 5º da Lei Federal nº 8.666/1993.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E1" w:rsidRDefault="00E252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E252E1" w:rsidRPr="00E252E1" w:rsidTr="004D26DB">
      <w:trPr>
        <w:trHeight w:val="859"/>
      </w:trPr>
      <w:tc>
        <w:tcPr>
          <w:tcW w:w="5813" w:type="dxa"/>
          <w:shd w:val="clear" w:color="auto" w:fill="auto"/>
        </w:tcPr>
        <w:p w:rsidR="00E252E1" w:rsidRPr="00E252E1" w:rsidRDefault="00E252E1" w:rsidP="00E252E1">
          <w:pPr>
            <w:tabs>
              <w:tab w:val="center" w:pos="4252"/>
              <w:tab w:val="right" w:pos="8504"/>
            </w:tabs>
            <w:suppressAutoHyphens w:val="0"/>
            <w:jc w:val="both"/>
            <w:rPr>
              <w:rFonts w:cs="Times New Roman"/>
              <w:color w:val="000000"/>
              <w:sz w:val="22"/>
              <w:szCs w:val="22"/>
              <w:lang w:eastAsia="en-US"/>
            </w:rPr>
          </w:pPr>
          <w:r w:rsidRPr="00E252E1">
            <w:rPr>
              <w:rFonts w:cs="Times New Roman"/>
              <w:noProof/>
              <w:color w:val="000000"/>
              <w:sz w:val="22"/>
              <w:szCs w:val="22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C641520" wp14:editId="168B2D84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shd w:val="clear" w:color="auto" w:fill="auto"/>
        </w:tcPr>
        <w:p w:rsidR="00E252E1" w:rsidRPr="00E252E1" w:rsidRDefault="00E252E1" w:rsidP="00E252E1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</w:pPr>
          <w:r w:rsidRPr="00E252E1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Praça dos Girassóis, Esplanada das </w:t>
          </w:r>
          <w:proofErr w:type="gramStart"/>
          <w:r w:rsidRPr="00E252E1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Secretarias</w:t>
          </w:r>
          <w:proofErr w:type="gramEnd"/>
        </w:p>
        <w:p w:rsidR="00E252E1" w:rsidRPr="00E252E1" w:rsidRDefault="00E252E1" w:rsidP="00E252E1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  <w:lang w:eastAsia="en-US"/>
            </w:rPr>
          </w:pPr>
          <w:r w:rsidRPr="00E252E1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 xml:space="preserve">Av. NS-2, Prédio I, S/N, Plano Diretor </w:t>
          </w:r>
          <w:proofErr w:type="gramStart"/>
          <w:r w:rsidRPr="00E252E1">
            <w:rPr>
              <w:rFonts w:eastAsia="Times New Roman" w:cs="Calibri"/>
              <w:bCs/>
              <w:color w:val="000000"/>
              <w:sz w:val="18"/>
              <w:szCs w:val="18"/>
              <w:lang w:eastAsia="pt-BR"/>
            </w:rPr>
            <w:t>Norte</w:t>
          </w:r>
          <w:proofErr w:type="gramEnd"/>
          <w:r w:rsidRPr="00E252E1">
            <w:rPr>
              <w:rFonts w:cs="Calibri"/>
              <w:color w:val="000000"/>
              <w:sz w:val="18"/>
              <w:szCs w:val="18"/>
              <w:lang w:eastAsia="en-US"/>
            </w:rPr>
            <w:t xml:space="preserve"> </w:t>
          </w:r>
        </w:p>
        <w:p w:rsidR="00E252E1" w:rsidRPr="00E252E1" w:rsidRDefault="00E252E1" w:rsidP="00E252E1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  <w:lang w:eastAsia="en-US"/>
            </w:rPr>
          </w:pPr>
          <w:r w:rsidRPr="00E252E1">
            <w:rPr>
              <w:rFonts w:cs="Calibri"/>
              <w:color w:val="000000"/>
              <w:sz w:val="18"/>
              <w:szCs w:val="18"/>
              <w:lang w:eastAsia="en-US"/>
            </w:rPr>
            <w:t>Palmas – Tocantins – CEP: 77.001-002</w:t>
          </w:r>
        </w:p>
        <w:p w:rsidR="00E252E1" w:rsidRPr="00E252E1" w:rsidRDefault="00E252E1" w:rsidP="00E252E1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Calibri"/>
              <w:color w:val="000000"/>
              <w:sz w:val="18"/>
              <w:szCs w:val="18"/>
              <w:lang w:eastAsia="en-US"/>
            </w:rPr>
          </w:pPr>
          <w:proofErr w:type="spellStart"/>
          <w:r w:rsidRPr="00E252E1">
            <w:rPr>
              <w:rFonts w:cs="Calibri"/>
              <w:color w:val="000000"/>
              <w:sz w:val="18"/>
              <w:szCs w:val="18"/>
              <w:lang w:eastAsia="en-US"/>
            </w:rPr>
            <w:t>Tel</w:t>
          </w:r>
          <w:proofErr w:type="spellEnd"/>
          <w:r w:rsidRPr="00E252E1">
            <w:rPr>
              <w:rFonts w:cs="Calibri"/>
              <w:color w:val="000000"/>
              <w:sz w:val="18"/>
              <w:szCs w:val="18"/>
              <w:lang w:eastAsia="en-US"/>
            </w:rPr>
            <w:t>: +55 63 3218-2563</w:t>
          </w:r>
        </w:p>
        <w:p w:rsidR="00E252E1" w:rsidRPr="00E252E1" w:rsidRDefault="00E252E1" w:rsidP="00E252E1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Times New Roman"/>
              <w:color w:val="000000"/>
              <w:sz w:val="22"/>
              <w:szCs w:val="22"/>
              <w:lang w:eastAsia="en-US"/>
            </w:rPr>
          </w:pPr>
          <w:hyperlink r:id="rId2" w:history="1">
            <w:r w:rsidRPr="00E252E1">
              <w:rPr>
                <w:rFonts w:cs="Calibri"/>
                <w:color w:val="0000FF"/>
                <w:sz w:val="18"/>
                <w:szCs w:val="18"/>
                <w:u w:val="single"/>
                <w:lang w:eastAsia="en-US"/>
              </w:rPr>
              <w:t>gabexecutivo@controladoria.to.gov.br</w:t>
            </w:r>
          </w:hyperlink>
          <w:r w:rsidRPr="00E252E1">
            <w:rPr>
              <w:rFonts w:cs="Calibri"/>
              <w:color w:val="000000"/>
              <w:sz w:val="18"/>
              <w:szCs w:val="18"/>
              <w:lang w:eastAsia="en-US"/>
            </w:rPr>
            <w:t xml:space="preserve"> </w:t>
          </w:r>
        </w:p>
        <w:p w:rsidR="00E252E1" w:rsidRPr="00E252E1" w:rsidRDefault="00E252E1" w:rsidP="00E252E1">
          <w:pPr>
            <w:tabs>
              <w:tab w:val="center" w:pos="4252"/>
              <w:tab w:val="right" w:pos="8504"/>
            </w:tabs>
            <w:suppressAutoHyphens w:val="0"/>
            <w:ind w:left="373" w:hanging="339"/>
            <w:rPr>
              <w:rFonts w:cs="Times New Roman"/>
              <w:color w:val="000000"/>
              <w:sz w:val="22"/>
              <w:szCs w:val="22"/>
              <w:lang w:eastAsia="en-US"/>
            </w:rPr>
          </w:pPr>
          <w:hyperlink r:id="rId3" w:history="1">
            <w:r w:rsidRPr="00E252E1">
              <w:rPr>
                <w:rFonts w:cs="Calibri"/>
                <w:color w:val="0000FF"/>
                <w:sz w:val="18"/>
                <w:szCs w:val="18"/>
                <w:u w:val="single"/>
                <w:lang w:eastAsia="en-US"/>
              </w:rPr>
              <w:t>www.to.gov.br/cge</w:t>
            </w:r>
          </w:hyperlink>
        </w:p>
      </w:tc>
    </w:tr>
  </w:tbl>
  <w:p w:rsidR="005E1340" w:rsidRDefault="005E1340">
    <w:pPr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E1" w:rsidRDefault="00E252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2CC"/>
    <w:multiLevelType w:val="multilevel"/>
    <w:tmpl w:val="234809C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28562431"/>
    <w:multiLevelType w:val="multilevel"/>
    <w:tmpl w:val="48484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7F1F3C"/>
    <w:multiLevelType w:val="multilevel"/>
    <w:tmpl w:val="FBCEB4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CB659C7"/>
    <w:multiLevelType w:val="multilevel"/>
    <w:tmpl w:val="D8A86008"/>
    <w:lvl w:ilvl="0">
      <w:start w:val="1"/>
      <w:numFmt w:val="lowerLetter"/>
      <w:lvlText w:val="%1)"/>
      <w:lvlJc w:val="left"/>
      <w:pPr>
        <w:tabs>
          <w:tab w:val="num" w:pos="0"/>
        </w:tabs>
        <w:ind w:left="89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F2E09AC"/>
    <w:multiLevelType w:val="multilevel"/>
    <w:tmpl w:val="695A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C7E1075"/>
    <w:multiLevelType w:val="multilevel"/>
    <w:tmpl w:val="13F06360"/>
    <w:lvl w:ilvl="0">
      <w:start w:val="1"/>
      <w:numFmt w:val="lowerLetter"/>
      <w:lvlText w:val="%1)"/>
      <w:lvlJc w:val="left"/>
      <w:pPr>
        <w:tabs>
          <w:tab w:val="num" w:pos="0"/>
        </w:tabs>
        <w:ind w:left="7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DF307D5"/>
    <w:multiLevelType w:val="multilevel"/>
    <w:tmpl w:val="5ADC2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40"/>
    <w:rsid w:val="005E1340"/>
    <w:rsid w:val="00E2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  <w:color w:val="auto"/>
    </w:rPr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  <w:color w:val="auto"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0">
    <w:name w:val="WW8Num8z0"/>
    <w:qFormat/>
    <w:rPr>
      <w:b/>
      <w:color w:val="auto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color w:val="auto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color w:val="auto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color w:val="auto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St15z0">
    <w:name w:val="WW8NumSt15z0"/>
    <w:qFormat/>
    <w:rPr>
      <w:b/>
    </w:rPr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styleId="Hyperlink">
    <w:name w:val="Hyperlink"/>
    <w:rPr>
      <w:color w:val="0000FF"/>
      <w:u w:val="single"/>
    </w:rPr>
  </w:style>
  <w:style w:type="character" w:customStyle="1" w:styleId="footnotedescriptionChar">
    <w:name w:val="footnote description Char"/>
    <w:qFormat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qFormat/>
    <w:rPr>
      <w:rFonts w:ascii="Arial" w:eastAsia="Arial" w:hAnsi="Arial" w:cs="Arial"/>
      <w:b/>
      <w:color w:val="000000"/>
      <w:sz w:val="20"/>
      <w:vertAlign w:val="superscript"/>
    </w:rPr>
  </w:style>
  <w:style w:type="character" w:customStyle="1" w:styleId="TextodenotaderodapChar">
    <w:name w:val="Texto de nota de rodapé Char"/>
    <w:basedOn w:val="Fontepargpadro1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after="200" w:line="276" w:lineRule="auto"/>
      <w:ind w:left="708"/>
    </w:pPr>
    <w:rPr>
      <w:rFonts w:cs="Calibri"/>
      <w:sz w:val="22"/>
      <w:szCs w:val="22"/>
    </w:rPr>
  </w:style>
  <w:style w:type="paragraph" w:customStyle="1" w:styleId="footnotedescription">
    <w:name w:val="footnote description"/>
    <w:next w:val="Normal"/>
    <w:qFormat/>
    <w:pPr>
      <w:spacing w:line="264" w:lineRule="auto"/>
      <w:ind w:left="141" w:hanging="141"/>
      <w:jc w:val="both"/>
    </w:pPr>
    <w:rPr>
      <w:rFonts w:ascii="Arial" w:eastAsia="Arial" w:hAnsi="Arial" w:cs="Arial"/>
      <w:color w:val="000000"/>
      <w:sz w:val="16"/>
      <w:szCs w:val="22"/>
      <w:lang w:eastAsia="zh-CN"/>
    </w:rPr>
  </w:style>
  <w:style w:type="paragraph" w:styleId="Textodenotaderodap">
    <w:name w:val="footnote text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2E1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  <w:color w:val="auto"/>
    </w:rPr>
  </w:style>
  <w:style w:type="character" w:customStyle="1" w:styleId="WW8Num2z0">
    <w:name w:val="WW8Num2z0"/>
    <w:qFormat/>
    <w:rPr>
      <w:b/>
    </w:rPr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  <w:color w:val="auto"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0">
    <w:name w:val="WW8Num8z0"/>
    <w:qFormat/>
    <w:rPr>
      <w:b/>
      <w:color w:val="auto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color w:val="auto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color w:val="auto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/>
      <w:color w:val="auto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St15z0">
    <w:name w:val="WW8NumSt15z0"/>
    <w:qFormat/>
    <w:rPr>
      <w:b/>
    </w:rPr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styleId="Hyperlink">
    <w:name w:val="Hyperlink"/>
    <w:rPr>
      <w:color w:val="0000FF"/>
      <w:u w:val="single"/>
    </w:rPr>
  </w:style>
  <w:style w:type="character" w:customStyle="1" w:styleId="footnotedescriptionChar">
    <w:name w:val="footnote description Char"/>
    <w:qFormat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qFormat/>
    <w:rPr>
      <w:rFonts w:ascii="Arial" w:eastAsia="Arial" w:hAnsi="Arial" w:cs="Arial"/>
      <w:b/>
      <w:color w:val="000000"/>
      <w:sz w:val="20"/>
      <w:vertAlign w:val="superscript"/>
    </w:rPr>
  </w:style>
  <w:style w:type="character" w:customStyle="1" w:styleId="TextodenotaderodapChar">
    <w:name w:val="Texto de nota de rodapé Char"/>
    <w:basedOn w:val="Fontepargpadro1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after="200" w:line="276" w:lineRule="auto"/>
      <w:ind w:left="708"/>
    </w:pPr>
    <w:rPr>
      <w:rFonts w:cs="Calibri"/>
      <w:sz w:val="22"/>
      <w:szCs w:val="22"/>
    </w:rPr>
  </w:style>
  <w:style w:type="paragraph" w:customStyle="1" w:styleId="footnotedescription">
    <w:name w:val="footnote description"/>
    <w:next w:val="Normal"/>
    <w:qFormat/>
    <w:pPr>
      <w:spacing w:line="264" w:lineRule="auto"/>
      <w:ind w:left="141" w:hanging="141"/>
      <w:jc w:val="both"/>
    </w:pPr>
    <w:rPr>
      <w:rFonts w:ascii="Arial" w:eastAsia="Arial" w:hAnsi="Arial" w:cs="Arial"/>
      <w:color w:val="000000"/>
      <w:sz w:val="16"/>
      <w:szCs w:val="22"/>
      <w:lang w:eastAsia="zh-CN"/>
    </w:rPr>
  </w:style>
  <w:style w:type="paragraph" w:styleId="Textodenotaderodap">
    <w:name w:val="footnote text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5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2E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ao.cge.to.gov.b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1150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 MARCIA PINTO MOREIRA</dc:creator>
  <dc:description/>
  <cp:lastModifiedBy>AMANDA FELIX RIBEIRO</cp:lastModifiedBy>
  <cp:revision>4</cp:revision>
  <cp:lastPrinted>2017-05-26T19:51:00Z</cp:lastPrinted>
  <dcterms:created xsi:type="dcterms:W3CDTF">2021-05-27T14:29:00Z</dcterms:created>
  <dcterms:modified xsi:type="dcterms:W3CDTF">2021-08-26T14:57:00Z</dcterms:modified>
  <dc:language>pt-BR</dc:language>
</cp:coreProperties>
</file>