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D" w:rsidRDefault="009E2705">
      <w:pPr>
        <w:pStyle w:val="Cabealh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CHECKLIST</w:t>
      </w:r>
      <w:proofErr w:type="spellEnd"/>
    </w:p>
    <w:p w:rsidR="00D424AD" w:rsidRDefault="00D424AD">
      <w:pPr>
        <w:pStyle w:val="Cabealho"/>
        <w:spacing w:line="36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D424AD" w:rsidRDefault="009E2705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Termo de Contrato</w:t>
      </w:r>
    </w:p>
    <w:p w:rsidR="00D424AD" w:rsidRDefault="00D424A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424AD" w:rsidRDefault="009E2705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Órgão/Entidade: _______________________________________________________________________________________</w:t>
      </w:r>
    </w:p>
    <w:p w:rsidR="00D424AD" w:rsidRDefault="009E2705">
      <w:pPr>
        <w:spacing w:after="0" w:line="36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Processo nº: ____________________________________________ Valor R$ ______________________________________</w:t>
      </w:r>
    </w:p>
    <w:p w:rsidR="00D424AD" w:rsidRDefault="009E2705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Contrato nº: __________________________________________________________________________________________</w:t>
      </w:r>
    </w:p>
    <w:p w:rsidR="00D424AD" w:rsidRDefault="009E2705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Interessado: __________________________________________________________________________________________</w:t>
      </w:r>
    </w:p>
    <w:p w:rsidR="00D424AD" w:rsidRDefault="00D424AD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D424AD" w:rsidRDefault="009E2705">
      <w:pPr>
        <w:pStyle w:val="NormalWeb"/>
        <w:shd w:val="clear" w:color="auto" w:fill="FFFFFF"/>
        <w:spacing w:before="280" w:beforeAutospacing="0" w:after="280"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Contrato</w:t>
      </w:r>
      <w:r>
        <w:rPr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administrativo</w:t>
      </w:r>
      <w:r>
        <w:rPr>
          <w:sz w:val="18"/>
          <w:szCs w:val="18"/>
        </w:rPr>
        <w:t xml:space="preserve"> é todo e qualquer ajust</w:t>
      </w:r>
      <w:r>
        <w:rPr>
          <w:sz w:val="18"/>
          <w:szCs w:val="18"/>
        </w:rPr>
        <w:t xml:space="preserve">e entre Órgãos ou Entidades da Administração Pública e com particulares, em que há um acordo de vontade para a formação de vínculo e a estipulação de obrigações recíprocas. O contrato administrativo é regido pelos preceitos de direito público e pelas suas </w:t>
      </w:r>
      <w:r>
        <w:rPr>
          <w:sz w:val="18"/>
          <w:szCs w:val="18"/>
        </w:rPr>
        <w:t xml:space="preserve">cláusulas de modo específico da </w:t>
      </w:r>
      <w:r>
        <w:rPr>
          <w:b/>
          <w:sz w:val="18"/>
          <w:szCs w:val="18"/>
        </w:rPr>
        <w:t xml:space="preserve">Lei Federal n.º 14.133/21. </w:t>
      </w:r>
      <w:r>
        <w:rPr>
          <w:sz w:val="18"/>
          <w:szCs w:val="18"/>
        </w:rPr>
        <w:t xml:space="preserve">Os contratos devem estabelecer com clareza e precisão as condições para sua execução, expressas em cláusulas que definam os direitos, obrigações e responsabilidades das partes, em conformidade com </w:t>
      </w:r>
      <w:r>
        <w:rPr>
          <w:sz w:val="18"/>
          <w:szCs w:val="18"/>
        </w:rPr>
        <w:t>os termos da licitação e da proposta a que se vinculam.</w:t>
      </w:r>
    </w:p>
    <w:p w:rsidR="00D424AD" w:rsidRDefault="009E2705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LEGENDA: S = SIM; N = NÃO; NA = NÃO SE APLICA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778"/>
        <w:gridCol w:w="1917"/>
        <w:gridCol w:w="870"/>
        <w:gridCol w:w="722"/>
      </w:tblGrid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424AD" w:rsidRDefault="009E27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Questões relativas ao procedimento da análise dos</w:t>
            </w:r>
          </w:p>
          <w:p w:rsidR="00D424AD" w:rsidRDefault="009E270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Termos de Contrato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424AD" w:rsidRDefault="009E2705">
            <w:pPr>
              <w:widowControl w:val="0"/>
              <w:ind w:left="-106"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Observação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424AD" w:rsidRDefault="009E2705">
            <w:pPr>
              <w:widowControl w:val="0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S/N/NA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D424AD" w:rsidRDefault="009E2705">
            <w:pPr>
              <w:widowControl w:val="0"/>
              <w:ind w:right="-11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Folha</w:t>
            </w:r>
          </w:p>
        </w:tc>
      </w:tr>
      <w:tr w:rsidR="00D424AD"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Preâmbulo da minuta do contrato</w:t>
            </w:r>
            <w:r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contém: (art. 89, §1º da Lei nº 14.133/21)?</w:t>
            </w: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316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indicação dos nomes das partes e de seus representantes?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316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finalidade?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316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ato que autorizou sua lavratura?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316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número do processo da licitação ou da contratação direta?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3"/>
              </w:numPr>
              <w:spacing w:after="0"/>
              <w:ind w:left="316" w:right="35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sujeição dos contratantes às normas da Lei Federal nº 14.133/21 e às normas contratuais?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68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932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contrato estabeleceu de forma clara e precisa as condições para sua execução, os direitos e as obrigações das partes de acordo com os termos do edital de licit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ação ou o ato que autorizou a contratação direta? (art. 89, §2º da Lei Federal nº 14.133/21)</w:t>
            </w:r>
            <w:r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422"/>
        </w:trPr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Necessário em todo contrato as seguintes cláusulas que estabeleçam: (art. 92 da Lei Federal n.º 14.133/21) </w:t>
            </w:r>
          </w:p>
        </w:tc>
      </w:tr>
      <w:tr w:rsidR="00D424AD">
        <w:trPr>
          <w:trHeight w:val="624"/>
        </w:trPr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objeto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apresenta elementos característicos de forma clara e está de acordo com o processo que deu origem ao contrato? (art. 92, inc. I da Lei Federal nº 14.133/21)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C9211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vinculação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ao edital de licitação e à proposta do licitante vencedor ou ao ato que tiver autorizado a contratação direta e à respectiva proposta feita pelo interessado? (art. 92, II da Lei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Consta definida 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legislação pertinente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à execução do contrato, e outras legislações que podem indiretamente interferir nos casos omissos da execução? (art. 92.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567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397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regime de execução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ou a forma de fornecimento contém elementos suficientes para a execução do c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ontrato no prazo estabelecido? (art. 92, inc.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397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caso de houver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peculiaridade no objeto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no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seu regime de execução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consta cláusula que preveja período antecedente à expedição da ordem de serviço para verificação de pendências, liberação de áreas ou adoção de outras providências cabíveis para a regularidade do início de sua execução? (art. 92, §2º da Lei Federal n.º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preços</w:t>
            </w:r>
            <w:r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unitário e global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estão compatíveis com o valor estimado informado no processo que deu origem ao contrato? (art. 92, inc. V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condições de pagamento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estabelecem os requisitos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necessários para o pagamento ao contratado? (art. 92, inc. V da Lei Federal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 cláusulas que definem os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data-base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periodicidade do reajustamento de preços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os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critérios de atualização monetária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constam vinculadas à da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 do orçamento estimado, podendo estabelecer mais de um índice específico ou setorial em conformidade com a realidade de mercado? (art. 92, inc. V e §3º da Lei Federal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estipulado o prazo para resposta ao pedido de repactuação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preços e/ou de restabelecimento do equilíbrio econômico-financeiro, quando for o caso? (art. 92, incisos X e XI da Lei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caso de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serviços contínuos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constam os critérios de reajustamento de preços previsto nos incisos I e II do §4º do art. 92 da Lei Federal n.º 14.133/21?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caso de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obras e serviços de engenharia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constam os critérios e a periodicidade da medição mensal, para a liquidação e o pag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amento dos serviços? (art. 92. inc. VI e §5º da Lei Federal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664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contrato prevê 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 início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das etapas de execução, de entrega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conclusão, de observação (acompanhamento, fiscalização ou monitoramento) e de recebimento definitivo, conforme o caso?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a cláusula que define o crédito pelo qual ocorrerá a despesa, com a indicação da classificação funcional programática e da categoria econômica está compatível com o processo que deu origem ao contrato, bem como com o(s) empenho(s) da despesa? (art.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n.º 14.133/21)</w:t>
            </w:r>
          </w:p>
          <w:p w:rsidR="00D424AD" w:rsidRDefault="009E2705">
            <w:pPr>
              <w:pStyle w:val="PargrafodaLista"/>
              <w:widowControl w:val="0"/>
              <w:spacing w:after="0"/>
              <w:ind w:left="316" w:right="35"/>
              <w:jc w:val="both"/>
              <w:rPr>
                <w:rFonts w:ascii="Times New Roman" w:hAnsi="Times New Roman" w:cs="Times New Roman"/>
                <w:i/>
                <w:color w:val="5983B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Obs.: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Devem-se considerar as questões de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apostilamento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necessárias à manutenção do contrato.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No caso da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vigência do contrato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com prazo máximo de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5 anos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consta a observação que em cada exercício a Administração deverá atestar a existência de créditos orçamentários vinculados à contratação e a vantagem em sua manutenção? (art. 106 da Lei Federal nº 14.133/21)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No caso da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vigência do contrato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com prazo máximo de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10 anos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  <w:u w:val="single"/>
              </w:rPr>
              <w:footnoteReference w:id="6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para os contratos de serviços e fornecimento contínuos, consta a observação que a prorrogação será atestada pela autoridade competente que os preços e condições permanecem vantajosos para a Administração? (art. 107 da Lei Fed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eral nº 14.133/21)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 caso da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vigência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 por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prazo indeterminado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  <w:u w:val="single"/>
              </w:rPr>
              <w:footnoteReference w:id="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consta a observação que a prorrogação será por comprovar a cada exercício financeiro, a existência de créditos orçamentário vinculados à contratação? (art. 109 da Lei Federal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Há cláusula com previsão das garantias oferecidas para asseg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urar a plena execução do contrato, quando exigidas, inclusive as que forem oferecidas pelo contratado no caso de antecipação de valores a título de pagamento? (art. 92,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XII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caput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 caso de exigência de garantia, a critério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da Administração, foi aplicada uma das seguintes modalidades de garantia</w:t>
            </w:r>
            <w:r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prevista no contrato: (art. 96,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caput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 § 1º da Lei Federal nº 14.133/21)</w:t>
            </w: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7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Caução em dinheiro ou em títulos da dívida pública emitidos sob a forma escritural?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7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Seguro-garantia?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7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Fiança bancária?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316" w:right="35" w:hanging="31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previsto prazo de garantia, condições de manutenção ou assistência técnica do objeto do contrato, quando for o caso?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cláusula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dos direitos e das responsabilidades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(ou das obrigações entre as partes) estabelece obrigações que condicionem a organização, direção, controle, execução e ou fiscalização do contrato?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color w:val="365F91" w:themeColor="accent1" w:themeShade="BF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penalidades cabíveis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de acordo com a gravidade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das infrações administrativas cometidas, garantida a prévia defesa?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art. 156, §1º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Prevê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valores das multas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a base de cálculo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ou conforme o caso consta um percentual sobre a parcela inadimplida poderá ser glosada?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cláusula de extinção está de acordo com 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137, 138 e 139 da Lei Federal nº 14.133/21?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XIX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 Lei Federal nº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316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Consta previsão da obrigação de o contratado cumprir as exigências de reserva de cargos prevista em lei, bem como em outras normas específicas, para pessoa com deficiência, para reabilitado da Previdência Social e para aprendiz, quando for o caso? (art. 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XVII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n.º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6" w:right="35" w:hanging="284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a obrigação do contratado de manter, durante toda a execução do contrato, em compatibilidade com as obrigações por ele assumidas, todas as condições exigidas para a habilitação na licitação, ou para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qu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alificação, na contratação direta? (art. 92, inc.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XVI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 Lei Federal n.º 14.133/21)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1" w:right="35" w:hanging="311"/>
              <w:jc w:val="both"/>
              <w:rPr>
                <w:rFonts w:ascii="Times New Roman" w:hAnsi="Times New Roman" w:cs="Times New Roman"/>
                <w:color w:val="5983B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Consta cláusula no caso de alteração unilateral, que o contratado será obrigado a aceitar, nas mesmas condições contratuais acréscimos e decréscimos de acordo com os limites estabelecidos pelo art. 125 da Lei nº 14.133/21?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11" w:right="35" w:hanging="3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Consta cláusula que declare competente o foro da sede da Administração para dirimir questões contratuais, ressalvadas as hipóteses previstas nos incisos I, II 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§1º do art. 92 da Lei Federal n.º 14.133/21?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rPr>
          <w:trHeight w:val="258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08" w:right="35" w:hanging="3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Consta convocação do licitante classifi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cado para assinar o termo de contrato? (art. 90 da Lei Federal n° 14.133/21)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08" w:right="35" w:hanging="308"/>
              <w:jc w:val="both"/>
              <w:rPr>
                <w:rFonts w:ascii="Times New Roman" w:hAnsi="Times New Roman" w:cs="Times New Roman"/>
                <w:color w:val="3465A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original do contrato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(ou instrumento equivalente) foi assinado pelas partes, estando todas devidamente qualificadas?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24AD"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4AD" w:rsidRDefault="009E2705">
            <w:pPr>
              <w:pStyle w:val="PargrafodaLista"/>
              <w:widowControl w:val="0"/>
              <w:numPr>
                <w:ilvl w:val="0"/>
                <w:numId w:val="6"/>
              </w:numPr>
              <w:spacing w:after="0"/>
              <w:ind w:left="308" w:right="35" w:hanging="3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Consta o modelo de gestão do contrato, observados os requisitos definidos em regulamento? (art. 92,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Lei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Federal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nº 14.133/21)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4AD" w:rsidRDefault="00D424AD">
            <w:pPr>
              <w:widowControl w:val="0"/>
              <w:spacing w:after="0"/>
              <w:ind w:left="454" w:right="35" w:hanging="42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424AD" w:rsidRDefault="009E2705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Apontamentos: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D424AD">
        <w:tc>
          <w:tcPr>
            <w:tcW w:w="9071" w:type="dxa"/>
            <w:shd w:val="clear" w:color="auto" w:fill="auto"/>
          </w:tcPr>
          <w:p w:rsidR="00D424AD" w:rsidRDefault="00D424AD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:rsidR="00D424AD" w:rsidRDefault="00D424AD">
      <w:pPr>
        <w:spacing w:line="360" w:lineRule="auto"/>
        <w:rPr>
          <w:rFonts w:ascii="Times New Roman" w:eastAsia="Arial" w:hAnsi="Times New Roman"/>
          <w:b/>
          <w:sz w:val="18"/>
          <w:szCs w:val="18"/>
        </w:rPr>
      </w:pPr>
    </w:p>
    <w:p w:rsidR="00D424AD" w:rsidRDefault="009E2705">
      <w:pPr>
        <w:spacing w:line="360" w:lineRule="auto"/>
        <w:jc w:val="center"/>
        <w:rPr>
          <w:rFonts w:ascii="Times New Roman" w:hAnsi="Times New Roman"/>
          <w:vanish/>
          <w:sz w:val="18"/>
          <w:szCs w:val="18"/>
        </w:rPr>
      </w:pPr>
      <w:r>
        <w:rPr>
          <w:rFonts w:ascii="Times New Roman" w:eastAsia="Arial" w:hAnsi="Times New Roman"/>
          <w:b/>
          <w:sz w:val="18"/>
          <w:szCs w:val="18"/>
        </w:rPr>
        <w:t>Assinatura e Número Funcional do Servidor</w:t>
      </w:r>
    </w:p>
    <w:p w:rsidR="00D424AD" w:rsidRDefault="00D424AD">
      <w:pPr>
        <w:spacing w:after="0" w:line="360" w:lineRule="auto"/>
        <w:rPr>
          <w:rFonts w:ascii="Times New Roman" w:hAnsi="Times New Roman"/>
        </w:rPr>
      </w:pPr>
    </w:p>
    <w:sectPr w:rsidR="00D424AD">
      <w:headerReference w:type="default" r:id="rId9"/>
      <w:pgSz w:w="11906" w:h="16838"/>
      <w:pgMar w:top="1134" w:right="1134" w:bottom="1134" w:left="1701" w:header="561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705">
      <w:pPr>
        <w:spacing w:after="0" w:line="240" w:lineRule="auto"/>
      </w:pPr>
      <w:r>
        <w:separator/>
      </w:r>
    </w:p>
  </w:endnote>
  <w:endnote w:type="continuationSeparator" w:id="0">
    <w:p w:rsidR="00000000" w:rsidRDefault="009E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Han Sans CN">
    <w:charset w:val="00"/>
    <w:family w:val="auto"/>
    <w:pitch w:val="default"/>
  </w:font>
  <w:font w:name="Noto Sans Devanagar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705">
      <w:pPr>
        <w:spacing w:after="0" w:line="240" w:lineRule="auto"/>
      </w:pPr>
      <w:r>
        <w:separator/>
      </w:r>
    </w:p>
  </w:footnote>
  <w:footnote w:type="continuationSeparator" w:id="0">
    <w:p w:rsidR="00000000" w:rsidRDefault="009E2705">
      <w:pPr>
        <w:spacing w:after="0" w:line="240" w:lineRule="auto"/>
      </w:pPr>
      <w:r>
        <w:continuationSeparator/>
      </w:r>
    </w:p>
  </w:footnote>
  <w:footnote w:id="1">
    <w:p w:rsidR="00D424AD" w:rsidRDefault="009E2705">
      <w:pPr>
        <w:pStyle w:val="Textodenotaderodap"/>
        <w:widowControl w:val="0"/>
        <w:jc w:val="both"/>
        <w:rPr>
          <w:sz w:val="14"/>
          <w:szCs w:val="14"/>
        </w:rPr>
      </w:pPr>
      <w:r>
        <w:rPr>
          <w:rStyle w:val="Caracteresdenotaderodap"/>
        </w:rPr>
        <w:footnoteRef/>
      </w:r>
      <w:r>
        <w:rPr>
          <w:sz w:val="14"/>
          <w:szCs w:val="14"/>
        </w:rPr>
        <w:t xml:space="preserve"> Art. 95. O instrumento de contrato é </w:t>
      </w:r>
      <w:r>
        <w:rPr>
          <w:b/>
          <w:bCs/>
          <w:sz w:val="14"/>
          <w:szCs w:val="14"/>
        </w:rPr>
        <w:t>obrigatório</w:t>
      </w:r>
      <w:r>
        <w:rPr>
          <w:sz w:val="14"/>
          <w:szCs w:val="14"/>
        </w:rPr>
        <w:t>, salvo nas seguintes hipóteses, em que a Administ</w:t>
      </w:r>
      <w:r>
        <w:rPr>
          <w:sz w:val="14"/>
          <w:szCs w:val="14"/>
        </w:rPr>
        <w:t>ração poderá substituí-lo por outro instrumento hábil, como carta-contrato, nota de empenho de despesa, autorização de compra ou ordem de execução de serviço:</w:t>
      </w:r>
    </w:p>
    <w:p w:rsidR="00D424AD" w:rsidRDefault="009E2705">
      <w:pPr>
        <w:pStyle w:val="Textodenotaderodap"/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I - dispensa de licitação em razão de valor;</w:t>
      </w:r>
    </w:p>
    <w:p w:rsidR="00D424AD" w:rsidRDefault="009E2705">
      <w:pPr>
        <w:pStyle w:val="Textodenotaderodap"/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II - compras com entrega imediata e integral dos ben</w:t>
      </w:r>
      <w:r>
        <w:rPr>
          <w:sz w:val="14"/>
          <w:szCs w:val="14"/>
        </w:rPr>
        <w:t>s adquiridos e dos quais não resultem obrigações futuras, inclusive quanto a assistência técnica, independentemente de seu valor.</w:t>
      </w:r>
    </w:p>
    <w:p w:rsidR="00D424AD" w:rsidRDefault="009E2705">
      <w:pPr>
        <w:pStyle w:val="Textodenotaderodap"/>
        <w:widowControl w:val="0"/>
        <w:jc w:val="both"/>
        <w:rPr>
          <w:sz w:val="14"/>
          <w:szCs w:val="14"/>
        </w:rPr>
      </w:pPr>
      <w:r>
        <w:rPr>
          <w:sz w:val="14"/>
          <w:szCs w:val="14"/>
        </w:rPr>
        <w:t>§ 1º Às hipóteses de substituição do instrumento de contrato, aplica-se, no que couber, o disposto no art. 92 desta Lei.</w:t>
      </w:r>
    </w:p>
    <w:p w:rsidR="00D424AD" w:rsidRDefault="009E2705">
      <w:pPr>
        <w:pStyle w:val="Textodenotaderodap"/>
        <w:widowControl w:val="0"/>
        <w:jc w:val="both"/>
      </w:pPr>
      <w:r>
        <w:rPr>
          <w:sz w:val="14"/>
          <w:szCs w:val="14"/>
        </w:rPr>
        <w:t xml:space="preserve">§ 2º </w:t>
      </w:r>
      <w:r>
        <w:rPr>
          <w:sz w:val="14"/>
          <w:szCs w:val="14"/>
        </w:rPr>
        <w:t>É nulo e de nenhum efeito o contrato verbal com a Administração, salvo o de pequenas compras ou o de prestação de serviços de pronto pagamento, assim entendidos aqueles de valor não superior a R$ 10.000,00 (dez mil reais). (art. 95 da Lei Federal nº 14.133</w:t>
      </w:r>
      <w:r>
        <w:rPr>
          <w:sz w:val="14"/>
          <w:szCs w:val="14"/>
        </w:rPr>
        <w:t>/21).</w:t>
      </w:r>
    </w:p>
  </w:footnote>
  <w:footnote w:id="2">
    <w:p w:rsidR="00D424AD" w:rsidRDefault="009E2705">
      <w:pPr>
        <w:pStyle w:val="Textodenotaderodap"/>
        <w:widowControl w:val="0"/>
        <w:tabs>
          <w:tab w:val="left" w:pos="142"/>
        </w:tabs>
        <w:jc w:val="both"/>
      </w:pPr>
      <w:r>
        <w:rPr>
          <w:rStyle w:val="Caracteresdenotaderodap"/>
        </w:rPr>
        <w:footnoteRef/>
      </w:r>
      <w:r>
        <w:rPr>
          <w:sz w:val="14"/>
          <w:szCs w:val="14"/>
        </w:rPr>
        <w:tab/>
        <w:t xml:space="preserve"> As cláusulas econômico-financeiras e monetárias dos contratos administrativos não poderão ser alteradas sem prévia concordância do contratado, conforme disposto no art. 104, §1º da Lei Federal nº 14.133/21. Alguns contratos expressam o valor total</w:t>
      </w:r>
      <w:r>
        <w:rPr>
          <w:sz w:val="14"/>
          <w:szCs w:val="14"/>
        </w:rPr>
        <w:t xml:space="preserve"> estimado em outra cláusula e na do preço apenas o valor mensal (estimado ou não). Em outros, remetem aos anexos que pormenorizam cálculos mais complexos para demonstração da composição do preço do material ou serviço contratado.</w:t>
      </w:r>
    </w:p>
  </w:footnote>
  <w:footnote w:id="3">
    <w:p w:rsidR="00D424AD" w:rsidRDefault="009E2705">
      <w:pPr>
        <w:pStyle w:val="Textodenotaderodap"/>
        <w:widowControl w:val="0"/>
        <w:tabs>
          <w:tab w:val="left" w:pos="142"/>
        </w:tabs>
        <w:jc w:val="both"/>
      </w:pPr>
      <w:r>
        <w:rPr>
          <w:rStyle w:val="Caracteresdenotaderodap"/>
        </w:rPr>
        <w:footnoteRef/>
      </w:r>
      <w:r>
        <w:rPr>
          <w:sz w:val="14"/>
          <w:szCs w:val="14"/>
        </w:rPr>
        <w:t xml:space="preserve"> São exemplos de requisit</w:t>
      </w:r>
      <w:r>
        <w:rPr>
          <w:sz w:val="14"/>
          <w:szCs w:val="14"/>
        </w:rPr>
        <w:t>os necessários: a apresentação de documento fiscal do fornecimento de material ou execução de serviço, conferido e atestado pela Administração; apresentação de termo de medição no caso de acompanhamento de realização de obras; planilhas; recibo de aluguel:</w:t>
      </w:r>
      <w:r>
        <w:rPr>
          <w:sz w:val="14"/>
          <w:szCs w:val="14"/>
        </w:rPr>
        <w:t xml:space="preserve"> planilhas pormenorizadas de custos; demonstrações de cumprimento das obrigações com encargos sociais e trabalhistas com as devidas retenções tributárias dentre outras pertinentes ao tipo de contrato.</w:t>
      </w:r>
    </w:p>
  </w:footnote>
  <w:footnote w:id="4">
    <w:p w:rsidR="00D424AD" w:rsidRDefault="009E2705">
      <w:pPr>
        <w:pStyle w:val="Textodenotaderodap"/>
        <w:widowControl w:val="0"/>
        <w:tabs>
          <w:tab w:val="left" w:pos="142"/>
        </w:tabs>
        <w:jc w:val="both"/>
      </w:pPr>
      <w:r>
        <w:rPr>
          <w:rStyle w:val="Caracteresdenotaderodap"/>
        </w:rPr>
        <w:footnoteRef/>
      </w:r>
      <w:r>
        <w:rPr>
          <w:sz w:val="14"/>
          <w:szCs w:val="14"/>
        </w:rPr>
        <w:tab/>
        <w:t xml:space="preserve"> Está cláusula também pode ser denominada de cláusula</w:t>
      </w:r>
      <w:r>
        <w:rPr>
          <w:sz w:val="14"/>
          <w:szCs w:val="14"/>
        </w:rPr>
        <w:t xml:space="preserve"> de revisão ou repactuação e poderá prever as hipóteses contempladas no art. 124, inciso II, letra “d”, da Lei Federal n.º 14.133/21 e demais condições estabelecidas.</w:t>
      </w:r>
    </w:p>
  </w:footnote>
  <w:footnote w:id="5">
    <w:p w:rsidR="00D424AD" w:rsidRDefault="009E2705">
      <w:pPr>
        <w:pStyle w:val="Textodenotaderodap"/>
        <w:widowControl w:val="0"/>
        <w:tabs>
          <w:tab w:val="left" w:pos="142"/>
        </w:tabs>
        <w:jc w:val="both"/>
      </w:pPr>
      <w:r>
        <w:rPr>
          <w:rStyle w:val="Caracteresdenotaderodap"/>
        </w:rPr>
        <w:footnoteRef/>
      </w:r>
      <w:r>
        <w:rPr>
          <w:sz w:val="14"/>
          <w:szCs w:val="14"/>
        </w:rPr>
        <w:t xml:space="preserve"> Aplica-se serviços e fornecimentos contínuos ao aluguel de equipamentos e à utilização </w:t>
      </w:r>
      <w:r>
        <w:rPr>
          <w:sz w:val="14"/>
          <w:szCs w:val="14"/>
        </w:rPr>
        <w:t>de programas de informática. (art. 106, §2º da Lei Federal n.º 14.133/21)</w:t>
      </w:r>
    </w:p>
  </w:footnote>
  <w:footnote w:id="6">
    <w:p w:rsidR="00D424AD" w:rsidRDefault="009E2705">
      <w:pPr>
        <w:widowControl w:val="0"/>
        <w:spacing w:after="0" w:line="240" w:lineRule="auto"/>
        <w:ind w:right="35"/>
        <w:jc w:val="both"/>
      </w:pPr>
      <w:r>
        <w:rPr>
          <w:rStyle w:val="Caracteresdenotaderodap"/>
        </w:rPr>
        <w:footnoteRef/>
      </w:r>
      <w:r>
        <w:t xml:space="preserve"> </w:t>
      </w:r>
      <w:r>
        <w:rPr>
          <w:sz w:val="14"/>
          <w:szCs w:val="14"/>
        </w:rPr>
        <w:t xml:space="preserve">A Administração poderá celebrar contratos com prazo de até 10 (dez) anos nas hipóteses previstas nas alíneas “f” e “g” do inciso </w:t>
      </w:r>
      <w:proofErr w:type="spellStart"/>
      <w:r>
        <w:rPr>
          <w:sz w:val="14"/>
          <w:szCs w:val="14"/>
        </w:rPr>
        <w:t>IV</w:t>
      </w:r>
      <w:proofErr w:type="spellEnd"/>
      <w:r>
        <w:rPr>
          <w:sz w:val="14"/>
          <w:szCs w:val="14"/>
        </w:rPr>
        <w:t xml:space="preserve"> e nos incisos V, VI, </w:t>
      </w:r>
      <w:proofErr w:type="spellStart"/>
      <w:r>
        <w:rPr>
          <w:sz w:val="14"/>
          <w:szCs w:val="14"/>
        </w:rPr>
        <w:t>XII</w:t>
      </w:r>
      <w:proofErr w:type="spellEnd"/>
      <w:r>
        <w:rPr>
          <w:sz w:val="14"/>
          <w:szCs w:val="14"/>
        </w:rPr>
        <w:t xml:space="preserve"> e </w:t>
      </w:r>
      <w:proofErr w:type="spellStart"/>
      <w:r>
        <w:rPr>
          <w:sz w:val="14"/>
          <w:szCs w:val="14"/>
        </w:rPr>
        <w:t>XVI</w:t>
      </w:r>
      <w:proofErr w:type="spellEnd"/>
      <w:r>
        <w:rPr>
          <w:sz w:val="14"/>
          <w:szCs w:val="14"/>
        </w:rPr>
        <w:t xml:space="preserve"> do caput do art. 75 desta Lei.</w:t>
      </w:r>
    </w:p>
  </w:footnote>
  <w:footnote w:id="7">
    <w:p w:rsidR="00D424AD" w:rsidRDefault="009E270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  <w:r>
        <w:rPr>
          <w:sz w:val="14"/>
          <w:szCs w:val="14"/>
        </w:rPr>
        <w:t>São contratos em quem a administração seja usuária de serviç</w:t>
      </w:r>
      <w:r>
        <w:rPr>
          <w:sz w:val="14"/>
          <w:szCs w:val="14"/>
        </w:rPr>
        <w:t>o público oferecido em regime de monopólio.</w:t>
      </w:r>
    </w:p>
  </w:footnote>
  <w:footnote w:id="8">
    <w:p w:rsidR="00D424AD" w:rsidRDefault="009E2705">
      <w:pPr>
        <w:pStyle w:val="Textodenotaderodap"/>
        <w:rPr>
          <w:sz w:val="14"/>
          <w:szCs w:val="14"/>
        </w:rPr>
      </w:pPr>
      <w:r>
        <w:rPr>
          <w:rStyle w:val="Caracteresdenotaderodap"/>
        </w:rPr>
        <w:footnoteRef/>
      </w:r>
      <w:r>
        <w:rPr>
          <w:sz w:val="14"/>
          <w:szCs w:val="14"/>
        </w:rPr>
        <w:t xml:space="preserve"> Nas contratações de obras, serviços e fornecimentos, a garantia poderá ser de até 5% (cinco por cento) do valor inicial do contrato, autorizada a majoração desse percentual para até 10% (dez por cento), desde q</w:t>
      </w:r>
      <w:r>
        <w:rPr>
          <w:sz w:val="14"/>
          <w:szCs w:val="14"/>
        </w:rPr>
        <w:t>ue justificada mediante análise da complexidade técnica e dos riscos envolvidos. (“caput” do art. 98 da Lei Federal n.º 14.133/2021)</w:t>
      </w:r>
    </w:p>
    <w:p w:rsidR="00D424AD" w:rsidRDefault="009E2705">
      <w:pPr>
        <w:pStyle w:val="Textodenotaderodap"/>
      </w:pPr>
      <w:r>
        <w:rPr>
          <w:sz w:val="14"/>
          <w:szCs w:val="14"/>
        </w:rPr>
        <w:t>Nas contratações de obras e serviços de engenharia de grande vulto, poderá ser exigida a prestação de garantia, na modalida</w:t>
      </w:r>
      <w:r>
        <w:rPr>
          <w:sz w:val="14"/>
          <w:szCs w:val="14"/>
        </w:rPr>
        <w:t>de seguro-garantia, com cláusula de retomada prevista no art. 102 desta Lei, em percentual equivalente a até 30% (trinta por cento) do valor inicial do contrato. (art. 99 da Lei Federal n.º 14.133/2021)</w:t>
      </w:r>
      <w:r>
        <w:t xml:space="preserve"> </w:t>
      </w:r>
    </w:p>
    <w:p w:rsidR="00D424AD" w:rsidRDefault="009E2705">
      <w:pPr>
        <w:pStyle w:val="Textodenotaderodap"/>
      </w:pPr>
      <w:r>
        <w:rPr>
          <w:sz w:val="14"/>
          <w:szCs w:val="14"/>
        </w:rPr>
        <w:t>A garantia prestada pelo contratado será liberada ou restituída após a fiel execução do contrato ou após a sua extinção por culpa exclusiva da Administração e, quando em dinheiro, atualizada monetariamente. (art. 100 da Lei Federal n.º 14.133/2021)</w:t>
      </w:r>
      <w:r>
        <w:t xml:space="preserve"> </w:t>
      </w:r>
    </w:p>
    <w:p w:rsidR="00D424AD" w:rsidRDefault="009E2705">
      <w:pPr>
        <w:pStyle w:val="Textodenotaderodap"/>
      </w:pPr>
      <w:r>
        <w:rPr>
          <w:sz w:val="14"/>
          <w:szCs w:val="14"/>
        </w:rPr>
        <w:t>Nos ca</w:t>
      </w:r>
      <w:r>
        <w:rPr>
          <w:sz w:val="14"/>
          <w:szCs w:val="14"/>
        </w:rPr>
        <w:t>sos de contratos que impliquem a entrega de bens pela Administração, dos quais o contratado ficará depositário, o valor desses bens deverá ser acrescido ao valor da garantia. (art. 101 da Lei Federal n.º 14.133/2021)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5"/>
      <w:gridCol w:w="4283"/>
    </w:tblGrid>
    <w:tr w:rsidR="00D424AD">
      <w:trPr>
        <w:trHeight w:val="859"/>
      </w:trPr>
      <w:tc>
        <w:tcPr>
          <w:tcW w:w="5814" w:type="dxa"/>
          <w:shd w:val="clear" w:color="auto" w:fill="auto"/>
        </w:tcPr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3" w:type="dxa"/>
          <w:shd w:val="clear" w:color="auto" w:fill="auto"/>
        </w:tcPr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sz w:val="18"/>
              <w:szCs w:val="18"/>
            </w:rPr>
          </w:pPr>
          <w:r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</w:p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sz w:val="18"/>
              <w:szCs w:val="18"/>
            </w:rPr>
          </w:pPr>
          <w:r>
            <w:rPr>
              <w:rFonts w:cs="Calibri"/>
              <w:sz w:val="18"/>
              <w:szCs w:val="18"/>
            </w:rPr>
            <w:t>Palmas – Tocantins – CEP: 77.001-002</w:t>
          </w:r>
        </w:p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  <w:rPr>
              <w:rFonts w:cs="Calibri"/>
              <w:sz w:val="18"/>
              <w:szCs w:val="18"/>
            </w:rPr>
          </w:pPr>
          <w:proofErr w:type="spellStart"/>
          <w:r>
            <w:rPr>
              <w:rFonts w:cs="Calibri"/>
              <w:sz w:val="18"/>
              <w:szCs w:val="18"/>
            </w:rPr>
            <w:t>Tel</w:t>
          </w:r>
          <w:proofErr w:type="spellEnd"/>
          <w:r>
            <w:rPr>
              <w:rFonts w:cs="Calibri"/>
              <w:sz w:val="18"/>
              <w:szCs w:val="18"/>
            </w:rPr>
            <w:t>: +55 63 3218-2563</w:t>
          </w:r>
        </w:p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</w:pPr>
          <w:hyperlink r:id="rId2" w:history="1">
            <w:r>
              <w:rPr>
                <w:rFonts w:cs="Calibri"/>
                <w:color w:val="0000FF"/>
                <w:sz w:val="18"/>
                <w:szCs w:val="18"/>
                <w:u w:val="single"/>
              </w:rPr>
              <w:t>gabexecutivo@controladoria.to.gov.br</w:t>
            </w:r>
          </w:hyperlink>
        </w:p>
        <w:p w:rsidR="00D424AD" w:rsidRDefault="009E2705">
          <w:pPr>
            <w:widowControl w:val="0"/>
            <w:tabs>
              <w:tab w:val="center" w:pos="4252"/>
              <w:tab w:val="right" w:pos="8504"/>
            </w:tabs>
            <w:suppressAutoHyphens w:val="0"/>
            <w:spacing w:after="0" w:line="240" w:lineRule="auto"/>
            <w:ind w:left="373" w:hanging="339"/>
          </w:pPr>
          <w:hyperlink r:id="rId3" w:history="1">
            <w:r>
              <w:rPr>
                <w:rFonts w:cs="Calibri"/>
                <w:color w:val="0000FF"/>
                <w:sz w:val="18"/>
                <w:szCs w:val="18"/>
                <w:u w:val="single"/>
              </w:rPr>
              <w:t>www.to.gov.br/cge</w:t>
            </w:r>
          </w:hyperlink>
        </w:p>
      </w:tc>
    </w:tr>
  </w:tbl>
  <w:p w:rsidR="00D424AD" w:rsidRDefault="00D424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2C99"/>
    <w:multiLevelType w:val="multilevel"/>
    <w:tmpl w:val="2ED03A3A"/>
    <w:lvl w:ilvl="0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11858BC"/>
    <w:multiLevelType w:val="multilevel"/>
    <w:tmpl w:val="FE3AB0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34BF3DA0"/>
    <w:multiLevelType w:val="multilevel"/>
    <w:tmpl w:val="AD949F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7C0130"/>
    <w:multiLevelType w:val="multilevel"/>
    <w:tmpl w:val="860A98C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4AA31CFB"/>
    <w:multiLevelType w:val="multilevel"/>
    <w:tmpl w:val="E89AFECE"/>
    <w:lvl w:ilvl="0">
      <w:start w:val="1"/>
      <w:numFmt w:val="lowerLetter"/>
      <w:lvlText w:val="%1)"/>
      <w:lvlJc w:val="left"/>
      <w:pPr>
        <w:ind w:left="1033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2."/>
      <w:lvlJc w:val="left"/>
      <w:pPr>
        <w:ind w:left="1753" w:hanging="360"/>
      </w:pPr>
    </w:lvl>
    <w:lvl w:ilvl="2">
      <w:start w:val="1"/>
      <w:numFmt w:val="lowerRoman"/>
      <w:lvlText w:val="%3."/>
      <w:lvlJc w:val="right"/>
      <w:pPr>
        <w:ind w:left="2473" w:hanging="180"/>
      </w:pPr>
    </w:lvl>
    <w:lvl w:ilvl="3">
      <w:start w:val="1"/>
      <w:numFmt w:val="decimal"/>
      <w:lvlText w:val="%4."/>
      <w:lvlJc w:val="left"/>
      <w:pPr>
        <w:ind w:left="3193" w:hanging="360"/>
      </w:pPr>
    </w:lvl>
    <w:lvl w:ilvl="4">
      <w:start w:val="1"/>
      <w:numFmt w:val="lowerLetter"/>
      <w:lvlText w:val="%5."/>
      <w:lvlJc w:val="left"/>
      <w:pPr>
        <w:ind w:left="3913" w:hanging="360"/>
      </w:pPr>
    </w:lvl>
    <w:lvl w:ilvl="5">
      <w:start w:val="1"/>
      <w:numFmt w:val="lowerRoman"/>
      <w:lvlText w:val="%6."/>
      <w:lvlJc w:val="right"/>
      <w:pPr>
        <w:ind w:left="4633" w:hanging="180"/>
      </w:pPr>
    </w:lvl>
    <w:lvl w:ilvl="6">
      <w:start w:val="1"/>
      <w:numFmt w:val="decimal"/>
      <w:lvlText w:val="%7."/>
      <w:lvlJc w:val="left"/>
      <w:pPr>
        <w:ind w:left="5353" w:hanging="360"/>
      </w:pPr>
    </w:lvl>
    <w:lvl w:ilvl="7">
      <w:start w:val="1"/>
      <w:numFmt w:val="lowerLetter"/>
      <w:lvlText w:val="%8."/>
      <w:lvlJc w:val="left"/>
      <w:pPr>
        <w:ind w:left="6073" w:hanging="360"/>
      </w:pPr>
    </w:lvl>
    <w:lvl w:ilvl="8">
      <w:start w:val="1"/>
      <w:numFmt w:val="lowerRoman"/>
      <w:lvlText w:val="%9."/>
      <w:lvlJc w:val="right"/>
      <w:pPr>
        <w:ind w:left="6793" w:hanging="180"/>
      </w:pPr>
    </w:lvl>
  </w:abstractNum>
  <w:abstractNum w:abstractNumId="5">
    <w:nsid w:val="63127DF2"/>
    <w:multiLevelType w:val="multilevel"/>
    <w:tmpl w:val="23980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670A433E"/>
    <w:multiLevelType w:val="multilevel"/>
    <w:tmpl w:val="CD3C17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63C4B"/>
    <w:multiLevelType w:val="multilevel"/>
    <w:tmpl w:val="775475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ocumentProtection w:edit="trackedChanges" w:enforcement="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AD"/>
    <w:rsid w:val="009E2705"/>
    <w:rsid w:val="00D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color w:val="000000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Times New Roman"/>
    </w:rPr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semiHidden/>
    <w:qFormat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16"/>
      <w:lang w:eastAsia="pt-BR"/>
    </w:rPr>
  </w:style>
  <w:style w:type="character" w:customStyle="1" w:styleId="footnotemark">
    <w:name w:val="footnote mark"/>
    <w:qFormat/>
    <w:rPr>
      <w:rFonts w:ascii="Arial" w:eastAsia="Arial" w:hAnsi="Arial" w:cs="Arial"/>
      <w:b/>
      <w:color w:val="000000"/>
      <w:sz w:val="20"/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ncoradanotadefim">
    <w:name w:val="Âncora da nota de fim"/>
    <w:qFormat/>
    <w:rPr>
      <w:vertAlign w:val="superscript"/>
    </w:rPr>
  </w:style>
  <w:style w:type="character" w:customStyle="1" w:styleId="EndnoteCharacters">
    <w:name w:val="Endnote Characters"/>
    <w:basedOn w:val="Fontepargpadro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Smbolosdenumerao">
    <w:name w:val="Símbolos de numeração"/>
    <w:qFormat/>
  </w:style>
  <w:style w:type="character" w:customStyle="1" w:styleId="Numeraodelinhas">
    <w:name w:val="Numeração de linhas"/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pPr>
      <w:ind w:left="708"/>
    </w:pPr>
    <w:rPr>
      <w:rFonts w:cs="Calibri"/>
    </w:rPr>
  </w:style>
  <w:style w:type="paragraph" w:styleId="Commarcadores">
    <w:name w:val="List Bullet"/>
    <w:basedOn w:val="Normal"/>
    <w:qFormat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spacing w:after="16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semiHidden/>
    <w:unhideWhenUsed/>
    <w:qFormat/>
    <w:rPr>
      <w:b/>
      <w:bCs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otnotedescription">
    <w:name w:val="footnote description"/>
    <w:next w:val="Normal"/>
    <w:qFormat/>
    <w:pPr>
      <w:suppressAutoHyphens/>
      <w:spacing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pt-BR"/>
    </w:rPr>
  </w:style>
  <w:style w:type="paragraph" w:styleId="Textodenotaderodap">
    <w:name w:val="footnote text"/>
    <w:basedOn w:val="Normal"/>
    <w:unhideWhenUsed/>
    <w:pPr>
      <w:spacing w:after="0" w:line="240" w:lineRule="auto"/>
    </w:pPr>
    <w:rPr>
      <w:sz w:val="20"/>
      <w:szCs w:val="20"/>
    </w:rPr>
  </w:style>
  <w:style w:type="paragraph" w:styleId="Textodenotadefim">
    <w:name w:val="endnote text"/>
    <w:basedOn w:val="Normal"/>
    <w:link w:val="TextodenotadefimChar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inha">
    <w:name w:val="line number"/>
    <w:basedOn w:val="Fontepargpadro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color w:val="000000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Times New Roman"/>
    </w:rPr>
  </w:style>
  <w:style w:type="character" w:styleId="Nmerodepgina">
    <w:name w:val="page number"/>
    <w:basedOn w:val="Fontepargpadro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semiHidden/>
    <w:qFormat/>
    <w:rPr>
      <w:rFonts w:ascii="Tahoma" w:eastAsia="Calibri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16"/>
      <w:lang w:eastAsia="pt-BR"/>
    </w:rPr>
  </w:style>
  <w:style w:type="character" w:customStyle="1" w:styleId="footnotemark">
    <w:name w:val="footnote mark"/>
    <w:qFormat/>
    <w:rPr>
      <w:rFonts w:ascii="Arial" w:eastAsia="Arial" w:hAnsi="Arial" w:cs="Arial"/>
      <w:b/>
      <w:color w:val="000000"/>
      <w:sz w:val="20"/>
      <w:vertAlign w:val="superscript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sz w:val="20"/>
      <w:szCs w:val="20"/>
    </w:rPr>
  </w:style>
  <w:style w:type="character" w:customStyle="1" w:styleId="ncoradanotaderodap">
    <w:name w:val="Âncora da nota de rodapé"/>
    <w:qFormat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ncoradanotadefim">
    <w:name w:val="Âncora da nota de fim"/>
    <w:qFormat/>
    <w:rPr>
      <w:vertAlign w:val="superscript"/>
    </w:rPr>
  </w:style>
  <w:style w:type="character" w:customStyle="1" w:styleId="EndnoteCharacters">
    <w:name w:val="Endnote Characters"/>
    <w:basedOn w:val="Fontepargpadro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Smbolosdenumerao">
    <w:name w:val="Símbolos de numeração"/>
    <w:qFormat/>
  </w:style>
  <w:style w:type="character" w:customStyle="1" w:styleId="Numeraodelinhas">
    <w:name w:val="Numeração de linhas"/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pPr>
      <w:ind w:left="708"/>
    </w:pPr>
    <w:rPr>
      <w:rFonts w:cs="Calibri"/>
    </w:rPr>
  </w:style>
  <w:style w:type="paragraph" w:styleId="Commarcadores">
    <w:name w:val="List Bullet"/>
    <w:basedOn w:val="Normal"/>
    <w:qFormat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spacing w:after="160" w:line="240" w:lineRule="auto"/>
      <w:jc w:val="both"/>
    </w:pPr>
    <w:rPr>
      <w:rFonts w:ascii="Times New Roman" w:eastAsia="Times New Roman" w:hAnsi="Times New Roman"/>
      <w:sz w:val="24"/>
    </w:rPr>
  </w:style>
  <w:style w:type="paragraph" w:styleId="Textodebalo">
    <w:name w:val="Balloon Text"/>
    <w:basedOn w:val="Normal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semiHidden/>
    <w:unhideWhenUsed/>
    <w:qFormat/>
    <w:rPr>
      <w:b/>
      <w:bCs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footnotedescription">
    <w:name w:val="footnote description"/>
    <w:next w:val="Normal"/>
    <w:qFormat/>
    <w:pPr>
      <w:suppressAutoHyphens/>
      <w:spacing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pt-BR"/>
    </w:rPr>
  </w:style>
  <w:style w:type="paragraph" w:styleId="Textodenotaderodap">
    <w:name w:val="footnote text"/>
    <w:basedOn w:val="Normal"/>
    <w:unhideWhenUsed/>
    <w:pPr>
      <w:spacing w:after="0" w:line="240" w:lineRule="auto"/>
    </w:pPr>
    <w:rPr>
      <w:sz w:val="20"/>
      <w:szCs w:val="20"/>
    </w:rPr>
  </w:style>
  <w:style w:type="paragraph" w:styleId="Textodenotadefim">
    <w:name w:val="endnote text"/>
    <w:basedOn w:val="Normal"/>
    <w:link w:val="TextodenotadefimChar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linha">
    <w:name w:val="line number"/>
    <w:basedOn w:val="Fontepargpadro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9657-A7C1-4634-A2E6-97EB1352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BURGEL DE CASTRO</dc:creator>
  <cp:lastModifiedBy>AMANDA FELIX RIBEIRO</cp:lastModifiedBy>
  <cp:revision>2</cp:revision>
  <cp:lastPrinted>2017-10-26T12:30:00Z</cp:lastPrinted>
  <dcterms:created xsi:type="dcterms:W3CDTF">2021-11-04T12:52:00Z</dcterms:created>
  <dcterms:modified xsi:type="dcterms:W3CDTF">2021-11-04T12:52:00Z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