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5C" w:rsidRDefault="00AD2265">
      <w:pPr>
        <w:pStyle w:val="Cabealho"/>
        <w:spacing w:line="360" w:lineRule="auto"/>
        <w:jc w:val="center"/>
        <w:outlineLvl w:val="0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CHECKLIST</w:t>
      </w:r>
      <w:proofErr w:type="spellEnd"/>
    </w:p>
    <w:p w:rsidR="004F725C" w:rsidRDefault="004F725C">
      <w:pPr>
        <w:pStyle w:val="Cabealho"/>
        <w:spacing w:line="360" w:lineRule="auto"/>
        <w:jc w:val="center"/>
        <w:outlineLvl w:val="0"/>
        <w:rPr>
          <w:b/>
          <w:bCs/>
          <w:sz w:val="18"/>
          <w:szCs w:val="18"/>
        </w:rPr>
      </w:pPr>
    </w:p>
    <w:p w:rsidR="004F725C" w:rsidRDefault="00AD2265">
      <w:pPr>
        <w:pStyle w:val="Cabealho"/>
        <w:spacing w:line="360" w:lineRule="auto"/>
        <w:jc w:val="center"/>
        <w:outlineLvl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FISCAL DE CONTRATO</w:t>
      </w:r>
    </w:p>
    <w:p w:rsidR="004F725C" w:rsidRDefault="00AD2265">
      <w:pPr>
        <w:pStyle w:val="Cabealho"/>
        <w:spacing w:line="360" w:lineRule="auto"/>
        <w:jc w:val="center"/>
        <w:outlineLvl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 RECEBIMENTO DE SERVIÇOS</w:t>
      </w:r>
    </w:p>
    <w:p w:rsidR="004F725C" w:rsidRDefault="004F725C">
      <w:pPr>
        <w:pStyle w:val="Cabealho"/>
        <w:spacing w:line="360" w:lineRule="auto"/>
        <w:jc w:val="center"/>
        <w:outlineLvl w:val="0"/>
        <w:rPr>
          <w:b/>
          <w:bCs/>
          <w:sz w:val="18"/>
          <w:szCs w:val="18"/>
        </w:rPr>
      </w:pPr>
    </w:p>
    <w:p w:rsidR="004F725C" w:rsidRDefault="00AD2265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Órgão/ Entidade: ______________________________________________________________________________________</w:t>
      </w:r>
    </w:p>
    <w:p w:rsidR="004F725C" w:rsidRDefault="00AD2265">
      <w:pPr>
        <w:spacing w:before="120" w:after="12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Processo nº: </w:t>
      </w:r>
      <w:r>
        <w:rPr>
          <w:sz w:val="18"/>
          <w:szCs w:val="18"/>
        </w:rPr>
        <w:t>__________________________________________________________________________________________</w:t>
      </w:r>
    </w:p>
    <w:p w:rsidR="004F725C" w:rsidRDefault="00AD2265">
      <w:pPr>
        <w:spacing w:before="120" w:after="120" w:line="276" w:lineRule="auto"/>
        <w:rPr>
          <w:sz w:val="18"/>
          <w:szCs w:val="18"/>
        </w:rPr>
      </w:pPr>
      <w:r>
        <w:rPr>
          <w:sz w:val="18"/>
          <w:szCs w:val="18"/>
        </w:rPr>
        <w:t>Objeto do contrato: ____________________________________________________________________________________</w:t>
      </w:r>
    </w:p>
    <w:p w:rsidR="004F725C" w:rsidRDefault="00AD2265">
      <w:pPr>
        <w:spacing w:before="120" w:after="120" w:line="276" w:lineRule="auto"/>
        <w:rPr>
          <w:sz w:val="18"/>
          <w:szCs w:val="18"/>
        </w:rPr>
      </w:pPr>
      <w:r>
        <w:rPr>
          <w:sz w:val="18"/>
          <w:szCs w:val="18"/>
        </w:rPr>
        <w:t>Nome do Fiscal:_____________________________________________</w:t>
      </w:r>
      <w:r>
        <w:rPr>
          <w:sz w:val="18"/>
          <w:szCs w:val="18"/>
        </w:rPr>
        <w:t>__________________________________________</w:t>
      </w:r>
    </w:p>
    <w:p w:rsidR="004F725C" w:rsidRDefault="00AD2265">
      <w:pPr>
        <w:spacing w:before="120" w:after="120" w:line="276" w:lineRule="auto"/>
        <w:rPr>
          <w:sz w:val="18"/>
          <w:szCs w:val="18"/>
        </w:rPr>
      </w:pPr>
      <w:r>
        <w:rPr>
          <w:sz w:val="18"/>
          <w:szCs w:val="18"/>
        </w:rPr>
        <w:t>Portaria de designação nº ______________________ Vigência do Contrato: _______________________________________</w:t>
      </w:r>
    </w:p>
    <w:p w:rsidR="004F725C" w:rsidRDefault="004F725C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4F725C" w:rsidRDefault="00AD2265">
      <w:pPr>
        <w:spacing w:line="360" w:lineRule="auto"/>
        <w:jc w:val="both"/>
      </w:pPr>
      <w:r>
        <w:rPr>
          <w:sz w:val="18"/>
          <w:szCs w:val="18"/>
        </w:rPr>
        <w:t xml:space="preserve">A fiscalização representa um dever-poder da Administração, expressamente previsto no art. 104, inc.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II</w:t>
      </w:r>
      <w:proofErr w:type="spellEnd"/>
      <w:r>
        <w:rPr>
          <w:sz w:val="18"/>
          <w:szCs w:val="18"/>
        </w:rPr>
        <w:t xml:space="preserve">, e art. 117 e seguintes da Lei Federal n.º 14.133/21, devendo ser exercido pelo Fiscal de Contratos constituído por servidor especialmente designado para representar a Administração e verificar a execução física do objeto contratual. Sua atuação deverá </w:t>
      </w:r>
      <w:r>
        <w:rPr>
          <w:sz w:val="18"/>
          <w:szCs w:val="18"/>
        </w:rPr>
        <w:t xml:space="preserve">respeitar os princípios gerais de direito e em especial aos princípios da Administração Pública, pautando suas ações na observância no Manual de Orientação para Gestão e Fiscalização de Contratos disponível no </w:t>
      </w:r>
      <w:hyperlink r:id="rId9" w:history="1">
        <w:r>
          <w:rPr>
            <w:rFonts w:cs="Calibri"/>
            <w:sz w:val="18"/>
            <w:szCs w:val="18"/>
            <w:u w:val="single"/>
          </w:rPr>
          <w:t>www.t</w:t>
        </w:r>
        <w:r>
          <w:rPr>
            <w:rFonts w:cs="Calibri"/>
            <w:sz w:val="18"/>
            <w:szCs w:val="18"/>
            <w:u w:val="single"/>
          </w:rPr>
          <w:t>o.gov.br/cge</w:t>
        </w:r>
      </w:hyperlink>
      <w:r>
        <w:rPr>
          <w:sz w:val="18"/>
          <w:szCs w:val="18"/>
        </w:rPr>
        <w:t xml:space="preserve"> no menu manuais </w:t>
      </w:r>
      <w:r>
        <w:rPr>
          <w:rStyle w:val="LinkdaInternet"/>
          <w:color w:val="000000"/>
          <w:sz w:val="18"/>
          <w:szCs w:val="18"/>
          <w:u w:val="none"/>
        </w:rPr>
        <w:t>e cartilhas</w:t>
      </w:r>
      <w:r>
        <w:rPr>
          <w:sz w:val="18"/>
          <w:szCs w:val="18"/>
        </w:rPr>
        <w:t xml:space="preserve"> e todo arcabouço normativo pertinente.</w:t>
      </w:r>
    </w:p>
    <w:p w:rsidR="004F725C" w:rsidRDefault="004F725C">
      <w:pPr>
        <w:spacing w:line="360" w:lineRule="auto"/>
        <w:ind w:firstLine="1134"/>
        <w:jc w:val="both"/>
        <w:rPr>
          <w:sz w:val="18"/>
          <w:szCs w:val="18"/>
        </w:rPr>
      </w:pPr>
    </w:p>
    <w:p w:rsidR="004F725C" w:rsidRDefault="00AD2265">
      <w:pPr>
        <w:ind w:right="-1"/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t>Legenda: S = Sim; N = Não; NA = Não se Aplica.</w:t>
      </w:r>
    </w:p>
    <w:tbl>
      <w:tblPr>
        <w:tblW w:w="9072" w:type="dxa"/>
        <w:tblInd w:w="-23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000" w:firstRow="0" w:lastRow="0" w:firstColumn="0" w:lastColumn="0" w:noHBand="0" w:noVBand="0"/>
      </w:tblPr>
      <w:tblGrid>
        <w:gridCol w:w="5433"/>
        <w:gridCol w:w="931"/>
        <w:gridCol w:w="2708"/>
      </w:tblGrid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vAlign w:val="center"/>
          </w:tcPr>
          <w:p w:rsidR="004F725C" w:rsidRDefault="00AD226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Conferência para o recebimento do serviço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tcMar>
              <w:top w:w="17" w:type="dxa"/>
              <w:left w:w="0" w:type="dxa"/>
              <w:bottom w:w="17" w:type="dxa"/>
              <w:right w:w="17" w:type="dxa"/>
            </w:tcMar>
            <w:vAlign w:val="center"/>
          </w:tcPr>
          <w:p w:rsidR="004F725C" w:rsidRDefault="00AD2265">
            <w:pPr>
              <w:widowControl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S/N/NA</w:t>
            </w: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</w:tcPr>
          <w:p w:rsidR="004F725C" w:rsidRDefault="00AD2265">
            <w:pPr>
              <w:widowControl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Observações</w:t>
            </w:r>
          </w:p>
        </w:tc>
      </w:tr>
      <w:tr w:rsidR="004F725C">
        <w:trPr>
          <w:trHeight w:val="249"/>
        </w:trPr>
        <w:tc>
          <w:tcPr>
            <w:tcW w:w="90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vAlign w:val="center"/>
          </w:tcPr>
          <w:p w:rsidR="004F725C" w:rsidRDefault="00AD2265">
            <w:pPr>
              <w:widowControl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ESCOLHA DO FISCAL</w:t>
            </w: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color w:val="3465A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Consta a publicação da portaria de designação no </w:t>
            </w:r>
            <w:proofErr w:type="spellStart"/>
            <w:r>
              <w:rPr>
                <w:sz w:val="18"/>
                <w:szCs w:val="18"/>
              </w:rPr>
              <w:t>D.O</w:t>
            </w:r>
            <w:proofErr w:type="spellEnd"/>
            <w:r>
              <w:rPr>
                <w:sz w:val="18"/>
                <w:szCs w:val="18"/>
              </w:rPr>
              <w:t xml:space="preserve">, com a data prévia ou, no máximo, contemporânea ao início da vigência de execução do contrato? (art. 117, </w:t>
            </w:r>
            <w:r>
              <w:rPr>
                <w:i/>
                <w:sz w:val="18"/>
                <w:szCs w:val="18"/>
              </w:rPr>
              <w:t>caput</w:t>
            </w:r>
            <w:r>
              <w:rPr>
                <w:sz w:val="18"/>
                <w:szCs w:val="18"/>
              </w:rPr>
              <w:t xml:space="preserve"> da Lei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413"/>
        </w:trPr>
        <w:tc>
          <w:tcPr>
            <w:tcW w:w="90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spacing w:line="360" w:lineRule="auto"/>
              <w:ind w:left="30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designação do agente público foram observados os </w:t>
            </w:r>
            <w:r>
              <w:rPr>
                <w:sz w:val="18"/>
                <w:szCs w:val="18"/>
              </w:rPr>
              <w:t>requisitos exigidos: (art. 7º da Lei Federal nº 14.133/21)</w:t>
            </w:r>
          </w:p>
        </w:tc>
      </w:tr>
      <w:tr w:rsidR="004F725C">
        <w:trPr>
          <w:trHeight w:val="510"/>
        </w:trPr>
        <w:tc>
          <w:tcPr>
            <w:tcW w:w="543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3"/>
              </w:numPr>
              <w:overflowPunct w:val="0"/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fiscal foi selecionado dentre os ocupantes dos quadros permanentes da Administração Pública? (art. 7º, inciso I da Lei Federal nº 14.133/21)</w:t>
            </w:r>
          </w:p>
        </w:tc>
        <w:tc>
          <w:tcPr>
            <w:tcW w:w="9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3"/>
              </w:numPr>
              <w:overflowPunct w:val="0"/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servidor possui atribuições relacionadas à licitação e contratos e/ou possui formação compatível ou qualificação atestada por certificação profissional emitida por escola de governo criada e mantida pelo poder público? (art. 7º, inciso II da Lei Federal </w:t>
            </w:r>
            <w:r>
              <w:rPr>
                <w:sz w:val="18"/>
                <w:szCs w:val="18"/>
              </w:rPr>
              <w:t>nº 14.133/21)</w:t>
            </w:r>
          </w:p>
        </w:tc>
        <w:tc>
          <w:tcPr>
            <w:tcW w:w="9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3"/>
              </w:numPr>
              <w:overflowPunct w:val="0"/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servidor é desimpedido das limitações existentes no inciso </w:t>
            </w:r>
            <w:proofErr w:type="spellStart"/>
            <w:r>
              <w:rPr>
                <w:sz w:val="18"/>
                <w:szCs w:val="18"/>
              </w:rPr>
              <w:t>III</w:t>
            </w:r>
            <w:proofErr w:type="spellEnd"/>
            <w:r>
              <w:rPr>
                <w:sz w:val="18"/>
                <w:szCs w:val="18"/>
              </w:rPr>
              <w:t xml:space="preserve"> e do art. 7º da Lei Federal 14.133/21?</w:t>
            </w:r>
          </w:p>
        </w:tc>
        <w:tc>
          <w:tcPr>
            <w:tcW w:w="9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3"/>
              </w:numPr>
              <w:overflowPunct w:val="0"/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função do agente público designado possuiu participação relevante na etapa de licitação, observado o princípio da segregação de fu</w:t>
            </w:r>
            <w:r>
              <w:rPr>
                <w:sz w:val="18"/>
                <w:szCs w:val="18"/>
              </w:rPr>
              <w:t>nções? (art. 7º, §1º da Lei Federal nº 14.133/21)</w:t>
            </w:r>
          </w:p>
        </w:tc>
        <w:tc>
          <w:tcPr>
            <w:tcW w:w="9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color w:val="C9211E"/>
                <w:sz w:val="18"/>
                <w:szCs w:val="18"/>
              </w:rPr>
            </w:pPr>
            <w:r>
              <w:rPr>
                <w:sz w:val="18"/>
                <w:szCs w:val="18"/>
              </w:rPr>
              <w:t>Caso haja algum impedimento que o fiscal não possa assumir, houve pronunciamento?</w:t>
            </w:r>
          </w:p>
        </w:tc>
        <w:tc>
          <w:tcPr>
            <w:tcW w:w="9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249"/>
        </w:trPr>
        <w:tc>
          <w:tcPr>
            <w:tcW w:w="90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vAlign w:val="center"/>
          </w:tcPr>
          <w:p w:rsidR="004F725C" w:rsidRDefault="00AD2265">
            <w:pPr>
              <w:widowControl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RECEBIMENTO DO SERVIÇO</w:t>
            </w: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color w:val="3465A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caso de obras e serviços de engenharia, em que outro órgão for o responsável pelo acompanhamento e fiscalização, consta o </w:t>
            </w:r>
            <w:r>
              <w:rPr>
                <w:b/>
                <w:bCs/>
                <w:sz w:val="18"/>
                <w:szCs w:val="18"/>
              </w:rPr>
              <w:t>atesto das medições</w:t>
            </w:r>
            <w:r>
              <w:rPr>
                <w:sz w:val="18"/>
                <w:szCs w:val="18"/>
              </w:rPr>
              <w:t>, na conformidade do projeto e do memorial descritivo? (art. 39, §2º do Decreto Orçamentário nº 6.237/2021)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color w:val="C9211E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4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No recebimento do serviço, houve a necessidade de </w:t>
            </w:r>
            <w:r>
              <w:rPr>
                <w:b/>
                <w:bCs/>
                <w:sz w:val="18"/>
                <w:szCs w:val="18"/>
              </w:rPr>
              <w:t>buscar auxílio</w:t>
            </w:r>
            <w:r>
              <w:rPr>
                <w:sz w:val="18"/>
                <w:szCs w:val="18"/>
              </w:rPr>
              <w:t xml:space="preserve"> junto às áreas competentes para que se efetue corretamente o atesto da execução contratual? (art. 117, §3º da Lei Federal nº 14.133/21)</w:t>
            </w:r>
          </w:p>
        </w:tc>
        <w:tc>
          <w:tcPr>
            <w:tcW w:w="9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27"/>
        </w:trPr>
        <w:tc>
          <w:tcPr>
            <w:tcW w:w="543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4" w:right="113" w:hanging="284"/>
              <w:jc w:val="both"/>
              <w:rPr>
                <w:color w:val="C9211E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hipótese da necessidade de </w:t>
            </w:r>
            <w:r>
              <w:rPr>
                <w:b/>
                <w:bCs/>
                <w:sz w:val="18"/>
                <w:szCs w:val="18"/>
              </w:rPr>
              <w:t>contratação de terceir</w:t>
            </w:r>
            <w:r>
              <w:rPr>
                <w:b/>
                <w:bCs/>
                <w:sz w:val="18"/>
                <w:szCs w:val="18"/>
              </w:rPr>
              <w:t>os</w:t>
            </w:r>
            <w:r>
              <w:rPr>
                <w:sz w:val="18"/>
                <w:szCs w:val="18"/>
              </w:rPr>
              <w:t xml:space="preserve"> (empresa ou profissional) para auxiliar o fiscal de contrato consta firmado um termo de compromisso de confidencialidade pela veracidade e pela precisão das informações prestadas? (art. 117, §4º, incisos I e II da Lei Federal nº 14.133/21)</w:t>
            </w:r>
          </w:p>
        </w:tc>
        <w:tc>
          <w:tcPr>
            <w:tcW w:w="9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269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4" w:right="113" w:hanging="284"/>
              <w:jc w:val="both"/>
              <w:rPr>
                <w:color w:val="C9211E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contratada manteve </w:t>
            </w:r>
            <w:r>
              <w:rPr>
                <w:b/>
                <w:bCs/>
                <w:sz w:val="18"/>
                <w:szCs w:val="18"/>
              </w:rPr>
              <w:t>o preposto</w:t>
            </w:r>
            <w:r>
              <w:rPr>
                <w:sz w:val="18"/>
                <w:szCs w:val="18"/>
              </w:rPr>
              <w:t>, no local da obra ou nos serviços, para representá-la na execução do contrato? (art. 118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acompanhamento dos serviços, foi constatado alguma </w:t>
            </w:r>
            <w:r>
              <w:rPr>
                <w:b/>
                <w:bCs/>
                <w:sz w:val="18"/>
                <w:szCs w:val="18"/>
              </w:rPr>
              <w:t>irregularidade</w:t>
            </w:r>
            <w:r>
              <w:rPr>
                <w:sz w:val="18"/>
                <w:szCs w:val="18"/>
              </w:rPr>
              <w:t xml:space="preserve"> apontada</w:t>
            </w:r>
            <w:r>
              <w:rPr>
                <w:sz w:val="18"/>
                <w:szCs w:val="18"/>
              </w:rPr>
              <w:t xml:space="preserve"> pelo fiscal que a contratada não tenha atendido? (art. 119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fiscal comunicou imediatamente o Gestor nos casos de infração suscetíveis de aplicação de sanções ou de extinção contratual, quando for o caso? (art. 137 da Lei F</w:t>
            </w:r>
            <w:r>
              <w:rPr>
                <w:sz w:val="18"/>
                <w:szCs w:val="18"/>
              </w:rPr>
              <w:t>ederal nº 14.133/21)</w:t>
            </w:r>
          </w:p>
        </w:tc>
        <w:tc>
          <w:tcPr>
            <w:tcW w:w="93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caso de haver algum dano causado diretamente à administração, relacionado a execução do contrato consta registro e comunicação aos </w:t>
            </w:r>
            <w:r>
              <w:rPr>
                <w:sz w:val="18"/>
                <w:szCs w:val="18"/>
              </w:rPr>
              <w:t>superiores, efetuado pelo fiscal de contrato? (art. 117, §1º e § 2º c/c art. 120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694"/>
              </w:tabs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Havendo a necessidade de interditar ou suspender provisoriamente a obra ou a prestação de serviços, o Gestor foi comunicado das razões e as </w:t>
            </w:r>
            <w:r>
              <w:rPr>
                <w:sz w:val="18"/>
                <w:szCs w:val="18"/>
              </w:rPr>
              <w:t>providências adotadas?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caso em que houver impedimento, ordem de paralisação ou suspensão do contrato a mais de 1 mês, consta divulgado</w:t>
            </w:r>
            <w:r>
              <w:rPr>
                <w:rStyle w:val="ncoradanotaderodap"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, em sítio eletrônico oficial e em placa fixada no local da obra? (art. 115, §6º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 caso de o contratado ter solicitado restabelecimento do equilíbrio econômico-financeiro durante a vigência contratual, a administração reconheceu</w:t>
            </w:r>
            <w:r>
              <w:rPr>
                <w:rStyle w:val="ncoradanotaderodap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 xml:space="preserve"> a solicitação? (art. 131, parágrafo único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tabs>
                <w:tab w:val="left" w:pos="694"/>
              </w:tabs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caso de a contratada </w:t>
            </w:r>
            <w:r>
              <w:rPr>
                <w:sz w:val="18"/>
                <w:szCs w:val="18"/>
              </w:rPr>
              <w:t>não ter executado total ou parcialmente o contrato, houve a necessidade de glosa de pagamento, referente aos serviços não prestados</w:t>
            </w:r>
            <w:r>
              <w:rPr>
                <w:rStyle w:val="ncoradanotaderodap"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color w:val="3465A4"/>
                <w:sz w:val="18"/>
                <w:szCs w:val="18"/>
              </w:rPr>
            </w:pPr>
            <w:r>
              <w:rPr>
                <w:sz w:val="18"/>
                <w:szCs w:val="18"/>
              </w:rPr>
              <w:t>Havendo a necessidade de promover a prorrogação contratual, nas hipóteses admitidas em lei e o atendimento ao interesse</w:t>
            </w:r>
            <w:r>
              <w:rPr>
                <w:sz w:val="18"/>
                <w:szCs w:val="18"/>
              </w:rPr>
              <w:t xml:space="preserve"> público em dar continuidade, justificativa em que os serviços prestados alcançaram o resultado esperado pelo setor demandante do Órgão/Entidade? (art. 117 § 2º da Lei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caso de prorrogação contratual, ocorreu antes do término da vigência</w:t>
            </w:r>
            <w:r>
              <w:rPr>
                <w:sz w:val="18"/>
                <w:szCs w:val="18"/>
              </w:rPr>
              <w:t xml:space="preserve"> do contrato original?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249"/>
        </w:trPr>
        <w:tc>
          <w:tcPr>
            <w:tcW w:w="90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vAlign w:val="center"/>
          </w:tcPr>
          <w:p w:rsidR="004F725C" w:rsidRDefault="00AD2265">
            <w:pPr>
              <w:widowControl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APTO PARA O PAGAMENTO</w:t>
            </w:r>
          </w:p>
        </w:tc>
      </w:tr>
      <w:tr w:rsidR="004F725C">
        <w:trPr>
          <w:trHeight w:val="199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color w:val="3465A4"/>
                <w:sz w:val="18"/>
                <w:szCs w:val="18"/>
              </w:rPr>
            </w:pPr>
            <w:r>
              <w:rPr>
                <w:sz w:val="18"/>
                <w:szCs w:val="18"/>
              </w:rPr>
              <w:t>Os serviços prestados estão de acordo com as especificações constantes nos termos contratuais e no projeto básico? (art. 115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fiscal da obra ou </w:t>
            </w:r>
            <w:r>
              <w:rPr>
                <w:sz w:val="18"/>
                <w:szCs w:val="18"/>
              </w:rPr>
              <w:t>serviço que acompanhou o recebimento</w:t>
            </w:r>
            <w:r>
              <w:rPr>
                <w:rStyle w:val="ncoradanotaderodap"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 xml:space="preserve"> do objeto apresentou o termo detalhado que comprove o cumprimento das exigências de caráter técnico? (art. 140, inciso I, “a” da Lei Federal nº 14.133/21) 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Consta a apresentação do termo detalhado pelo </w:t>
            </w:r>
            <w:r>
              <w:rPr>
                <w:sz w:val="18"/>
                <w:szCs w:val="18"/>
              </w:rPr>
              <w:t>recebimento definitivo</w:t>
            </w:r>
            <w:r>
              <w:rPr>
                <w:rStyle w:val="ncoradanotaderodap"/>
                <w:sz w:val="18"/>
                <w:szCs w:val="18"/>
              </w:rPr>
              <w:footnoteReference w:id="5"/>
            </w:r>
            <w:r>
              <w:rPr>
                <w:sz w:val="18"/>
                <w:szCs w:val="18"/>
              </w:rPr>
              <w:t xml:space="preserve"> do objeto, que comprova o atendimento das exigências contratuais, este procedimento é obrigatório ocorrer em momento anterior a cada pagamento realizado? (art. 140, inciso I, “b”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307"/>
              <w:jc w:val="both"/>
              <w:rPr>
                <w:color w:val="3465A4"/>
                <w:sz w:val="18"/>
                <w:szCs w:val="18"/>
              </w:rPr>
            </w:pPr>
            <w:r>
              <w:rPr>
                <w:sz w:val="18"/>
                <w:szCs w:val="18"/>
              </w:rPr>
              <w:t>No caso de execução d</w:t>
            </w:r>
            <w:r>
              <w:rPr>
                <w:sz w:val="18"/>
                <w:szCs w:val="18"/>
              </w:rPr>
              <w:t>e obra ou serviço, referente ao pagamento</w:t>
            </w:r>
            <w:r>
              <w:rPr>
                <w:rStyle w:val="ncoradanotaderodap"/>
                <w:sz w:val="18"/>
                <w:szCs w:val="18"/>
              </w:rPr>
              <w:footnoteReference w:id="6"/>
            </w:r>
            <w:r>
              <w:rPr>
                <w:sz w:val="18"/>
                <w:szCs w:val="18"/>
              </w:rPr>
              <w:t xml:space="preserve"> anterior, consta dentro do prazo permitido no contrato, e/ou havendo retardamento no seu pagamento consta motivação para o atraso? (art. 115, §1º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10"/>
        </w:trPr>
        <w:tc>
          <w:tcPr>
            <w:tcW w:w="90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spacing w:line="276" w:lineRule="auto"/>
              <w:ind w:left="307" w:hanging="284"/>
              <w:rPr>
                <w:color w:val="3465A4"/>
                <w:sz w:val="18"/>
                <w:szCs w:val="18"/>
              </w:rPr>
            </w:pPr>
            <w:r>
              <w:rPr>
                <w:sz w:val="18"/>
                <w:szCs w:val="18"/>
              </w:rPr>
              <w:t>Consta certidões de regularidade fi</w:t>
            </w:r>
            <w:r>
              <w:rPr>
                <w:sz w:val="18"/>
                <w:szCs w:val="18"/>
              </w:rPr>
              <w:t>scal</w:t>
            </w:r>
            <w:r>
              <w:rPr>
                <w:rStyle w:val="ncoradanotaderodap"/>
                <w:sz w:val="18"/>
                <w:szCs w:val="18"/>
              </w:rPr>
              <w:footnoteReference w:id="7"/>
            </w:r>
            <w:r>
              <w:rPr>
                <w:sz w:val="18"/>
                <w:szCs w:val="18"/>
              </w:rPr>
              <w:t xml:space="preserve"> e sua validade dentro do período de pagamento: (art. 91, §4º e c/c art. 92, inciso </w:t>
            </w:r>
            <w:proofErr w:type="spellStart"/>
            <w:r>
              <w:rPr>
                <w:sz w:val="18"/>
                <w:szCs w:val="18"/>
              </w:rPr>
              <w:t>XVI</w:t>
            </w:r>
            <w:proofErr w:type="spellEnd"/>
            <w:r>
              <w:rPr>
                <w:sz w:val="18"/>
                <w:szCs w:val="18"/>
              </w:rPr>
              <w:t xml:space="preserve"> da Lei nº 14.133/21)</w:t>
            </w: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4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Certidão de Débitos Relativos a Créditos Tributários Federais e à Dívida Ativa da União?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34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4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Certidão Negativa de Débitos Estadual?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411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4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Certidão Negativa de Débitos Municipal?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274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4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Certidão Negativa de Débitos Trabalhistas?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65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4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de Regularidade do FGTS?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65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4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caso de empresas optantes pelo Sistema Integrado de Pagamento de Impostos e Contribuições das </w:t>
            </w:r>
            <w:r>
              <w:rPr>
                <w:sz w:val="18"/>
                <w:szCs w:val="18"/>
              </w:rPr>
              <w:t xml:space="preserve">Microempresas e Empresas de Pequeno Porte (SIMPLES), consta a apresentação da declaração em cada faturamento, uma vez que pode haver o </w:t>
            </w:r>
            <w:proofErr w:type="spellStart"/>
            <w:r>
              <w:rPr>
                <w:sz w:val="18"/>
                <w:szCs w:val="18"/>
              </w:rPr>
              <w:t>desenquadramento</w:t>
            </w:r>
            <w:proofErr w:type="spellEnd"/>
            <w:r>
              <w:rPr>
                <w:sz w:val="18"/>
                <w:szCs w:val="18"/>
              </w:rPr>
              <w:t xml:space="preserve"> da empresa ao longo da execução do contrato, quando for o caso?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ind w:left="307" w:hanging="284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86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color w:val="C9211E"/>
                <w:sz w:val="18"/>
                <w:szCs w:val="18"/>
              </w:rPr>
            </w:pPr>
            <w:r>
              <w:rPr>
                <w:sz w:val="18"/>
                <w:szCs w:val="18"/>
              </w:rPr>
              <w:t>No caso de reserva de cargos previst</w:t>
            </w:r>
            <w:r>
              <w:rPr>
                <w:sz w:val="18"/>
                <w:szCs w:val="18"/>
              </w:rPr>
              <w:t>as em lei para pessoa com deficiência, consta comprovação do cumprimento do dispositivo com indicação dos empregados, quando solicitado? (art. 116 e parágrafo único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86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Consta comprovação de pagamento mensal, no caso dos </w:t>
            </w:r>
            <w:r>
              <w:rPr>
                <w:b/>
                <w:bCs/>
                <w:sz w:val="18"/>
                <w:szCs w:val="18"/>
              </w:rPr>
              <w:t>serviços contínuos com regime de dedicação exclusiva de mão de obra</w:t>
            </w:r>
            <w:r>
              <w:rPr>
                <w:sz w:val="18"/>
                <w:szCs w:val="18"/>
              </w:rPr>
              <w:t>, referente a encargos</w:t>
            </w:r>
            <w:r>
              <w:rPr>
                <w:rStyle w:val="ncoradanotaderodap"/>
                <w:sz w:val="18"/>
                <w:szCs w:val="18"/>
              </w:rPr>
              <w:footnoteReference w:id="8"/>
            </w:r>
            <w:r>
              <w:rPr>
                <w:sz w:val="18"/>
                <w:szCs w:val="18"/>
              </w:rPr>
              <w:t xml:space="preserve"> previdenciários e trabalhistas do mês anterior? (art. 121, §2º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86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Consta comprovação mensal do controle de frequência dos empregados em </w:t>
            </w:r>
            <w:r>
              <w:rPr>
                <w:sz w:val="18"/>
                <w:szCs w:val="18"/>
              </w:rPr>
              <w:t>hora/mês, sendo compatível com o valor a ser pago?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color w:val="3465A4"/>
                <w:sz w:val="18"/>
                <w:szCs w:val="18"/>
              </w:rPr>
            </w:pPr>
            <w:r>
              <w:rPr>
                <w:sz w:val="18"/>
                <w:szCs w:val="18"/>
              </w:rPr>
              <w:t>Caso conste notificação do fiscal em relação a execução do objeto (reparar, corrigir, remover, reconstruir ou substituir), a contratada atendeu às solicitações? (art. 119 da Lei Federal nº 14.133/21)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386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contrato consta vigente durante o período da execução dos serviços?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407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nota fiscal consta o valor correspondente mensal, ou cronograma de desembolso, com a descrição do objeto, conforme previsto no contrato?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407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Caso tenha havido glosa do valor mensal da fatura, consta justificativa comprovando a glosa?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 CNPJ da contratada contido na Nota Fiscal é o mesmo que consta da Nota de Empenho e no Instrumento Contratual?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Consta </w:t>
            </w:r>
            <w:r>
              <w:rPr>
                <w:sz w:val="18"/>
                <w:szCs w:val="18"/>
              </w:rPr>
              <w:t>informado na nota fiscal o CNPJ, número do edital de licitação, número do contrato/empenho e endereço do órgão ou entidade solicitante?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F725C">
        <w:trPr>
          <w:trHeight w:val="510"/>
        </w:trPr>
        <w:tc>
          <w:tcPr>
            <w:tcW w:w="5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AD2265">
            <w:pPr>
              <w:pStyle w:val="PargrafodaLista"/>
              <w:widowControl w:val="0"/>
              <w:numPr>
                <w:ilvl w:val="0"/>
                <w:numId w:val="5"/>
              </w:numPr>
              <w:ind w:left="307" w:right="11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mês de referência ou período da prestação de serviços está de acordo com o cronograma de execução contratual? (semp</w:t>
            </w:r>
            <w:r>
              <w:rPr>
                <w:sz w:val="18"/>
                <w:szCs w:val="18"/>
              </w:rPr>
              <w:t>re corresponde ao mês anterior ao da fatura)</w:t>
            </w:r>
          </w:p>
        </w:tc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25C" w:rsidRDefault="004F725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4F725C" w:rsidRDefault="00AD2265">
      <w:pPr>
        <w:rPr>
          <w:b/>
          <w:sz w:val="18"/>
          <w:szCs w:val="18"/>
        </w:rPr>
      </w:pPr>
      <w:r>
        <w:rPr>
          <w:b/>
          <w:sz w:val="18"/>
          <w:szCs w:val="18"/>
        </w:rPr>
        <w:t>Apontamentos:</w:t>
      </w:r>
    </w:p>
    <w:tbl>
      <w:tblPr>
        <w:tblW w:w="9210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4F725C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5C" w:rsidRDefault="004F725C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4F725C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5C" w:rsidRDefault="004F725C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4F725C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5C" w:rsidRDefault="004F725C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4F725C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5C" w:rsidRDefault="004F725C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4F725C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5C" w:rsidRDefault="004F725C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4F725C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5C" w:rsidRDefault="004F725C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4F725C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5C" w:rsidRDefault="004F725C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4F725C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5C" w:rsidRDefault="004F725C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4F725C" w:rsidRDefault="004F725C">
      <w:pPr>
        <w:rPr>
          <w:b/>
          <w:sz w:val="18"/>
          <w:szCs w:val="18"/>
        </w:rPr>
      </w:pPr>
    </w:p>
    <w:p w:rsidR="004F725C" w:rsidRDefault="004F725C">
      <w:pPr>
        <w:spacing w:line="360" w:lineRule="auto"/>
        <w:rPr>
          <w:b/>
          <w:sz w:val="18"/>
          <w:szCs w:val="18"/>
        </w:rPr>
      </w:pPr>
    </w:p>
    <w:p w:rsidR="004F725C" w:rsidRDefault="00AD226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Assinatura e Matrícula do Servidor</w:t>
      </w:r>
    </w:p>
    <w:p w:rsidR="004F725C" w:rsidRDefault="004F725C">
      <w:pPr>
        <w:jc w:val="center"/>
        <w:rPr>
          <w:b/>
          <w:sz w:val="18"/>
          <w:szCs w:val="18"/>
        </w:rPr>
      </w:pPr>
    </w:p>
    <w:p w:rsidR="004F725C" w:rsidRDefault="004F725C">
      <w:pPr>
        <w:jc w:val="center"/>
      </w:pPr>
    </w:p>
    <w:sectPr w:rsidR="004F725C">
      <w:headerReference w:type="default" r:id="rId10"/>
      <w:pgSz w:w="11906" w:h="16838"/>
      <w:pgMar w:top="2070" w:right="1134" w:bottom="1701" w:left="1701" w:header="40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2265">
      <w:r>
        <w:separator/>
      </w:r>
    </w:p>
  </w:endnote>
  <w:endnote w:type="continuationSeparator" w:id="0">
    <w:p w:rsidR="00000000" w:rsidRDefault="00AD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Verdan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variable"/>
  </w:font>
  <w:font w:name="Noto Sans CJK SC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3" w:csb1="00000000"/>
  </w:font>
  <w:font w:name="DengXian Light">
    <w:altName w:val="等线 Light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2265">
      <w:r>
        <w:separator/>
      </w:r>
    </w:p>
  </w:footnote>
  <w:footnote w:type="continuationSeparator" w:id="0">
    <w:p w:rsidR="00000000" w:rsidRDefault="00AD2265">
      <w:r>
        <w:continuationSeparator/>
      </w:r>
    </w:p>
  </w:footnote>
  <w:footnote w:id="1">
    <w:p w:rsidR="004F725C" w:rsidRDefault="00AD2265">
      <w:pPr>
        <w:pStyle w:val="Textodenotaderodap"/>
        <w:widowControl w:val="0"/>
        <w:ind w:left="142" w:hanging="142"/>
        <w:jc w:val="both"/>
        <w:rPr>
          <w:rFonts w:asciiTheme="minorHAnsi" w:hAnsiTheme="minorHAnsi"/>
          <w:sz w:val="14"/>
          <w:szCs w:val="14"/>
        </w:rPr>
      </w:pPr>
      <w:r>
        <w:rPr>
          <w:rStyle w:val="Caracteresdenotaderodap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ab/>
        <w:t xml:space="preserve"> O Fiscal fiscalizará se a Administração divulgou, em sítio eletrônico oficial e em placa afixada no local da obra de fácil visualização pelos cidadãos, aviso público de obra paralisada, com o motivo e o responsável pela inexecução temporária do ob</w:t>
      </w:r>
      <w:r>
        <w:rPr>
          <w:rFonts w:asciiTheme="minorHAnsi" w:hAnsiTheme="minorHAnsi"/>
          <w:sz w:val="14"/>
          <w:szCs w:val="14"/>
        </w:rPr>
        <w:t xml:space="preserve">jeto do contrato e a data prevista para o reinício da sua execução. Caso não ocorra o Fiscal deverá alertar aos seus superiores. </w:t>
      </w:r>
    </w:p>
  </w:footnote>
  <w:footnote w:id="2">
    <w:p w:rsidR="004F725C" w:rsidRDefault="00AD2265">
      <w:pPr>
        <w:widowControl w:val="0"/>
        <w:suppressAutoHyphens w:val="0"/>
        <w:overflowPunct w:val="0"/>
        <w:ind w:left="142" w:hanging="142"/>
        <w:jc w:val="both"/>
        <w:rPr>
          <w:rFonts w:asciiTheme="minorHAnsi" w:hAnsiTheme="minorHAnsi"/>
          <w:sz w:val="14"/>
          <w:szCs w:val="14"/>
        </w:rPr>
      </w:pPr>
      <w:r>
        <w:rPr>
          <w:rStyle w:val="Caracteresdenotaderodap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ab/>
      </w:r>
      <w:r>
        <w:rPr>
          <w:rFonts w:asciiTheme="minorHAnsi" w:hAnsiTheme="minorHAnsi"/>
          <w:sz w:val="14"/>
          <w:szCs w:val="14"/>
        </w:rPr>
        <w:t>Caso haja alteração unilateral do contrato que aumente ou diminua os encargos do contratado, a Administração deverá restabelecer, no mesmo termo aditivo, o equilíbrio econômico-financeiro inicial.</w:t>
      </w:r>
      <w:r>
        <w:rPr>
          <w:rFonts w:asciiTheme="minorHAnsi" w:eastAsia="Calibri" w:hAnsiTheme="minorHAnsi" w:cs="ArialMT"/>
          <w:sz w:val="14"/>
          <w:szCs w:val="14"/>
          <w:lang w:eastAsia="en-US"/>
        </w:rPr>
        <w:t xml:space="preserve"> </w:t>
      </w:r>
      <w:r>
        <w:rPr>
          <w:rFonts w:asciiTheme="minorHAnsi" w:hAnsiTheme="minorHAnsi"/>
          <w:sz w:val="14"/>
          <w:szCs w:val="14"/>
        </w:rPr>
        <w:t>Havendo a extinção do contrato não configurará óbice para o</w:t>
      </w:r>
      <w:r>
        <w:rPr>
          <w:rFonts w:asciiTheme="minorHAnsi" w:hAnsiTheme="minorHAnsi"/>
          <w:sz w:val="14"/>
          <w:szCs w:val="14"/>
        </w:rPr>
        <w:t xml:space="preserve"> reconhecimento do desequilíbrio econômico-financeiro, hipótese em que será concedida indenização por meio de termo indenizatório. (art. 130 e 131 da Lei Federal nº 14.133/21)</w:t>
      </w:r>
    </w:p>
  </w:footnote>
  <w:footnote w:id="3">
    <w:p w:rsidR="004F725C" w:rsidRDefault="00AD2265">
      <w:pPr>
        <w:pStyle w:val="Textodenotaderodap"/>
        <w:ind w:left="142" w:hanging="142"/>
        <w:rPr>
          <w:rFonts w:asciiTheme="minorHAnsi" w:hAnsiTheme="minorHAnsi"/>
          <w:sz w:val="14"/>
          <w:szCs w:val="14"/>
        </w:rPr>
      </w:pPr>
      <w:r>
        <w:rPr>
          <w:rStyle w:val="Caracteresdenotaderodap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Quando houver glosa parcial dos serviços, a contratante deverá comunicar a emp</w:t>
      </w:r>
      <w:r>
        <w:rPr>
          <w:rFonts w:asciiTheme="minorHAnsi" w:hAnsiTheme="minorHAnsi"/>
          <w:sz w:val="14"/>
          <w:szCs w:val="14"/>
        </w:rPr>
        <w:t>resa para que emita anota fiscal ou fatura com o valor exato dimensionado, evitando, assim, efeitos tributários sobre valor glosado pela Administração.</w:t>
      </w:r>
    </w:p>
  </w:footnote>
  <w:footnote w:id="4">
    <w:p w:rsidR="004F725C" w:rsidRDefault="00AD2265">
      <w:pPr>
        <w:pStyle w:val="Textodenotaderodap"/>
        <w:widowControl w:val="0"/>
        <w:ind w:left="142" w:hanging="142"/>
        <w:jc w:val="both"/>
        <w:rPr>
          <w:rFonts w:asciiTheme="minorHAnsi" w:hAnsiTheme="minorHAnsi"/>
          <w:sz w:val="14"/>
          <w:szCs w:val="14"/>
        </w:rPr>
      </w:pPr>
      <w:r>
        <w:rPr>
          <w:rStyle w:val="Caracteresdenotaderodap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ab/>
        <w:t xml:space="preserve"> O recebimento provisório ou definitivo não excluirá a responsabilidade civil pela solidez e pela segu</w:t>
      </w:r>
      <w:r>
        <w:rPr>
          <w:rFonts w:asciiTheme="minorHAnsi" w:hAnsiTheme="minorHAnsi"/>
          <w:sz w:val="14"/>
          <w:szCs w:val="14"/>
        </w:rPr>
        <w:t>rança da obra ou serviço nem a responsabilidade ético-profissional pela perfeita execução do contrato, nos limites estabelecidos pela lei ou pelo contrato. (art.140, §2º da Lei Federal nº 14.133/21)</w:t>
      </w:r>
    </w:p>
  </w:footnote>
  <w:footnote w:id="5">
    <w:p w:rsidR="004F725C" w:rsidRDefault="00AD2265">
      <w:pPr>
        <w:pStyle w:val="Textodenotaderodap"/>
        <w:widowControl w:val="0"/>
        <w:ind w:left="142" w:hanging="142"/>
        <w:jc w:val="both"/>
        <w:rPr>
          <w:rFonts w:asciiTheme="minorHAnsi" w:hAnsiTheme="minorHAnsi"/>
          <w:sz w:val="14"/>
          <w:szCs w:val="14"/>
        </w:rPr>
      </w:pPr>
      <w:r>
        <w:rPr>
          <w:rStyle w:val="Caracteresdenotaderodap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ab/>
        <w:t xml:space="preserve"> Em se tratando de projeto de obra, o recebimento defin</w:t>
      </w:r>
      <w:r>
        <w:rPr>
          <w:rFonts w:asciiTheme="minorHAnsi" w:hAnsiTheme="minorHAnsi"/>
          <w:sz w:val="14"/>
          <w:szCs w:val="14"/>
        </w:rPr>
        <w:t xml:space="preserve">itivo pela Administração não eximirá o projetista ou o consultor da responsabilidade objetiva por todos os danos causados por falha de projeto. Em se tratando de obra, o recebimento definitivo pela Administração não eximirá o contratado, pelo prazo mínimo </w:t>
      </w:r>
      <w:r>
        <w:rPr>
          <w:rFonts w:asciiTheme="minorHAnsi" w:hAnsiTheme="minorHAnsi"/>
          <w:sz w:val="14"/>
          <w:szCs w:val="14"/>
        </w:rPr>
        <w:t>de 5 (cinco) anos, admitida a previsão de prazo de garantia superior no edital e no contrato, da responsabilidade objetiva pela solidez e pela segurança dos materiais e dos serviços executados e pela funcionalidade da construção, da reforma, da recuperação</w:t>
      </w:r>
      <w:r>
        <w:rPr>
          <w:rFonts w:asciiTheme="minorHAnsi" w:hAnsiTheme="minorHAnsi"/>
          <w:sz w:val="14"/>
          <w:szCs w:val="14"/>
        </w:rPr>
        <w:t xml:space="preserve"> ou da ampliação do bem imóvel, e, em caso de vício, defeito ou incorreção identificados, o contratado ficará responsável pela reparação, pela correção, pela reconstrução ou pela substituição necessárias.</w:t>
      </w:r>
    </w:p>
  </w:footnote>
  <w:footnote w:id="6">
    <w:p w:rsidR="004F725C" w:rsidRDefault="00AD2265">
      <w:pPr>
        <w:pStyle w:val="Textodenotaderodap"/>
        <w:widowControl w:val="0"/>
        <w:ind w:left="142" w:hanging="142"/>
        <w:jc w:val="both"/>
        <w:rPr>
          <w:rFonts w:asciiTheme="minorHAnsi" w:hAnsiTheme="minorHAnsi"/>
          <w:sz w:val="14"/>
          <w:szCs w:val="14"/>
        </w:rPr>
      </w:pPr>
      <w:r>
        <w:rPr>
          <w:rStyle w:val="Caracteresdenotaderodap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ab/>
        <w:t xml:space="preserve"> Em caso de impedimento, ordem de paralisação ou </w:t>
      </w:r>
      <w:r>
        <w:rPr>
          <w:rFonts w:asciiTheme="minorHAnsi" w:hAnsiTheme="minorHAnsi"/>
          <w:sz w:val="14"/>
          <w:szCs w:val="14"/>
        </w:rPr>
        <w:t>suspensão do contrato, o cronograma de execução será prorrogado automaticamente pelo tempo correspondente, anotadas tais circunstâncias mediante simples apostila. (art. 115, § 5º da Lei Federal nº 14.133/21)</w:t>
      </w:r>
    </w:p>
  </w:footnote>
  <w:footnote w:id="7">
    <w:p w:rsidR="004F725C" w:rsidRDefault="00AD2265">
      <w:pPr>
        <w:widowControl w:val="0"/>
        <w:tabs>
          <w:tab w:val="left" w:pos="142"/>
        </w:tabs>
        <w:suppressAutoHyphens w:val="0"/>
        <w:overflowPunct w:val="0"/>
        <w:ind w:left="142" w:hanging="142"/>
        <w:jc w:val="both"/>
        <w:rPr>
          <w:rFonts w:asciiTheme="minorHAnsi" w:hAnsiTheme="minorHAnsi"/>
          <w:sz w:val="14"/>
          <w:szCs w:val="14"/>
        </w:rPr>
      </w:pPr>
      <w:r>
        <w:rPr>
          <w:rStyle w:val="Caracteresdenotaderodap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ab/>
        <w:t xml:space="preserve"> </w:t>
      </w:r>
      <w:r>
        <w:rPr>
          <w:rFonts w:asciiTheme="minorHAnsi" w:eastAsia="Calibri" w:hAnsiTheme="minorHAnsi"/>
          <w:sz w:val="14"/>
          <w:szCs w:val="14"/>
          <w:lang w:eastAsia="en-US"/>
        </w:rPr>
        <w:t xml:space="preserve">Somente o contratado será responsável pelos encargos trabalhistas, previdenciários, fiscais e comerciais resultantes da execução do contrato. </w:t>
      </w:r>
      <w:r>
        <w:rPr>
          <w:rFonts w:asciiTheme="minorHAnsi" w:hAnsiTheme="minorHAnsi"/>
          <w:sz w:val="14"/>
          <w:szCs w:val="14"/>
        </w:rPr>
        <w:t>A sua in</w:t>
      </w:r>
      <w:r>
        <w:rPr>
          <w:rFonts w:asciiTheme="minorHAnsi" w:hAnsiTheme="minorHAnsi"/>
          <w:sz w:val="14"/>
          <w:szCs w:val="14"/>
        </w:rPr>
        <w:t>a</w:t>
      </w:r>
      <w:r>
        <w:rPr>
          <w:rFonts w:asciiTheme="minorHAnsi" w:hAnsiTheme="minorHAnsi"/>
          <w:sz w:val="14"/>
          <w:szCs w:val="14"/>
        </w:rPr>
        <w:t>dimplência não transferirá à Administração a responsabilidade pelo seu pagamento e não poderá onerar o ob</w:t>
      </w:r>
      <w:r>
        <w:rPr>
          <w:rFonts w:asciiTheme="minorHAnsi" w:hAnsiTheme="minorHAnsi"/>
          <w:sz w:val="14"/>
          <w:szCs w:val="14"/>
        </w:rPr>
        <w:t>jeto do contrato nem restringir a regularização e o uso das obras e das edificações, inclusive perante o registro de imóveis. (art. 121 e §1º da Lei Federal nº 14.133_21)</w:t>
      </w:r>
    </w:p>
  </w:footnote>
  <w:footnote w:id="8">
    <w:p w:rsidR="004F725C" w:rsidRDefault="00AD2265">
      <w:pPr>
        <w:widowControl w:val="0"/>
        <w:suppressAutoHyphens w:val="0"/>
        <w:overflowPunct w:val="0"/>
        <w:ind w:left="142" w:hanging="142"/>
        <w:jc w:val="both"/>
        <w:rPr>
          <w:rFonts w:asciiTheme="minorHAnsi" w:hAnsiTheme="minorHAnsi"/>
          <w:sz w:val="14"/>
          <w:szCs w:val="14"/>
        </w:rPr>
      </w:pPr>
      <w:r>
        <w:rPr>
          <w:rStyle w:val="Caracteresdenotaderodap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ab/>
        <w:t xml:space="preserve"> Não havendo o cumprimento de obrigações trabalhistas pelo contratado, a Administra</w:t>
      </w:r>
      <w:r>
        <w:rPr>
          <w:rFonts w:asciiTheme="minorHAnsi" w:hAnsiTheme="minorHAnsi"/>
          <w:sz w:val="14"/>
          <w:szCs w:val="14"/>
        </w:rPr>
        <w:t>ção, mediante disposição em edital ou em contrato, poderá, entre outras medidas : condicionar o pagamento à comprovação de quitação das obrigações trabalhistas vencidas; em caso de inadimplemento, efetuar diret</w:t>
      </w:r>
      <w:r>
        <w:rPr>
          <w:rFonts w:asciiTheme="minorHAnsi" w:hAnsiTheme="minorHAnsi"/>
          <w:sz w:val="14"/>
          <w:szCs w:val="14"/>
        </w:rPr>
        <w:t>a</w:t>
      </w:r>
      <w:r>
        <w:rPr>
          <w:rFonts w:asciiTheme="minorHAnsi" w:hAnsiTheme="minorHAnsi"/>
          <w:sz w:val="14"/>
          <w:szCs w:val="14"/>
        </w:rPr>
        <w:t>mente o pagamento das verbas trabalhistas, qu</w:t>
      </w:r>
      <w:r>
        <w:rPr>
          <w:rFonts w:asciiTheme="minorHAnsi" w:hAnsiTheme="minorHAnsi"/>
          <w:sz w:val="14"/>
          <w:szCs w:val="14"/>
        </w:rPr>
        <w:t xml:space="preserve">e serão deduzidas do pagamento devido ao contratado. (art. 121, §3º, incisos I, II, </w:t>
      </w:r>
      <w:proofErr w:type="spellStart"/>
      <w:r>
        <w:rPr>
          <w:rFonts w:asciiTheme="minorHAnsi" w:hAnsiTheme="minorHAnsi"/>
          <w:sz w:val="14"/>
          <w:szCs w:val="14"/>
        </w:rPr>
        <w:t>III</w:t>
      </w:r>
      <w:proofErr w:type="spellEnd"/>
      <w:r>
        <w:rPr>
          <w:rFonts w:asciiTheme="minorHAnsi" w:hAnsiTheme="minorHAnsi"/>
          <w:sz w:val="14"/>
          <w:szCs w:val="14"/>
        </w:rPr>
        <w:t xml:space="preserve">, </w:t>
      </w:r>
      <w:proofErr w:type="spellStart"/>
      <w:r>
        <w:rPr>
          <w:rFonts w:asciiTheme="minorHAnsi" w:hAnsiTheme="minorHAnsi"/>
          <w:sz w:val="14"/>
          <w:szCs w:val="14"/>
        </w:rPr>
        <w:t>IV</w:t>
      </w:r>
      <w:proofErr w:type="spellEnd"/>
      <w:r>
        <w:rPr>
          <w:rFonts w:asciiTheme="minorHAnsi" w:hAnsiTheme="minorHAnsi"/>
          <w:sz w:val="14"/>
          <w:szCs w:val="14"/>
        </w:rPr>
        <w:t xml:space="preserve"> e V da Lei Federal nº 14.133/21)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8" w:type="dxa"/>
      <w:tblInd w:w="-283" w:type="dxa"/>
      <w:tblLayout w:type="fixed"/>
      <w:tblLook w:val="0000" w:firstRow="0" w:lastRow="0" w:firstColumn="0" w:lastColumn="0" w:noHBand="0" w:noVBand="0"/>
    </w:tblPr>
    <w:tblGrid>
      <w:gridCol w:w="5816"/>
      <w:gridCol w:w="4282"/>
    </w:tblGrid>
    <w:tr w:rsidR="004F725C">
      <w:trPr>
        <w:trHeight w:val="859"/>
      </w:trPr>
      <w:tc>
        <w:tcPr>
          <w:tcW w:w="5815" w:type="dxa"/>
        </w:tcPr>
        <w:p w:rsidR="004F725C" w:rsidRDefault="00AD2265">
          <w:pPr>
            <w:widowControl w:val="0"/>
            <w:tabs>
              <w:tab w:val="center" w:pos="4252"/>
              <w:tab w:val="right" w:pos="8504"/>
            </w:tabs>
            <w:suppressAutoHyphens w:val="0"/>
            <w:jc w:val="both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145415</wp:posOffset>
                </wp:positionH>
                <wp:positionV relativeFrom="margin">
                  <wp:posOffset>26670</wp:posOffset>
                </wp:positionV>
                <wp:extent cx="3144520" cy="53340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452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82" w:type="dxa"/>
        </w:tcPr>
        <w:p w:rsidR="004F725C" w:rsidRDefault="00AD2265">
          <w:pPr>
            <w:widowControl w:val="0"/>
            <w:tabs>
              <w:tab w:val="center" w:pos="4252"/>
              <w:tab w:val="right" w:pos="8504"/>
            </w:tabs>
            <w:suppressAutoHyphens w:val="0"/>
            <w:ind w:left="373" w:hanging="339"/>
            <w:rPr>
              <w:rFonts w:cs="Calibri"/>
              <w:bCs/>
              <w:color w:val="000000"/>
              <w:sz w:val="18"/>
              <w:szCs w:val="18"/>
            </w:rPr>
          </w:pPr>
          <w:r>
            <w:rPr>
              <w:rFonts w:cs="Calibri"/>
              <w:bCs/>
              <w:color w:val="000000"/>
              <w:sz w:val="18"/>
              <w:szCs w:val="18"/>
            </w:rPr>
            <w:t>Praça dos Girassóis, Esplanada das Secretarias</w:t>
          </w:r>
        </w:p>
        <w:p w:rsidR="004F725C" w:rsidRDefault="00AD2265">
          <w:pPr>
            <w:widowControl w:val="0"/>
            <w:tabs>
              <w:tab w:val="center" w:pos="4252"/>
              <w:tab w:val="right" w:pos="8504"/>
            </w:tabs>
            <w:suppressAutoHyphens w:val="0"/>
            <w:ind w:left="373" w:hanging="339"/>
            <w:rPr>
              <w:rFonts w:cs="Calibri"/>
              <w:bCs/>
              <w:color w:val="000000"/>
              <w:sz w:val="18"/>
              <w:szCs w:val="18"/>
            </w:rPr>
          </w:pPr>
          <w:r>
            <w:rPr>
              <w:rFonts w:cs="Calibri"/>
              <w:bCs/>
              <w:color w:val="000000"/>
              <w:sz w:val="18"/>
              <w:szCs w:val="18"/>
            </w:rPr>
            <w:t>Av. NS-2, Prédio I, S/N, Plano Diretor Norte</w:t>
          </w:r>
        </w:p>
        <w:p w:rsidR="004F725C" w:rsidRDefault="00AD2265">
          <w:pPr>
            <w:widowControl w:val="0"/>
            <w:tabs>
              <w:tab w:val="center" w:pos="4252"/>
              <w:tab w:val="right" w:pos="8504"/>
            </w:tabs>
            <w:suppressAutoHyphens w:val="0"/>
            <w:ind w:left="373" w:hanging="339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Palmas – Tocantins – CEP: 77.001-002</w:t>
          </w:r>
        </w:p>
        <w:p w:rsidR="004F725C" w:rsidRDefault="00AD2265">
          <w:pPr>
            <w:widowControl w:val="0"/>
            <w:tabs>
              <w:tab w:val="center" w:pos="4252"/>
              <w:tab w:val="right" w:pos="8504"/>
            </w:tabs>
            <w:suppressAutoHyphens w:val="0"/>
            <w:ind w:left="373" w:hanging="339"/>
            <w:rPr>
              <w:rFonts w:cs="Calibri"/>
              <w:color w:val="000000"/>
              <w:sz w:val="18"/>
              <w:szCs w:val="18"/>
            </w:rPr>
          </w:pPr>
          <w:proofErr w:type="spellStart"/>
          <w:r>
            <w:rPr>
              <w:rFonts w:cs="Calibri"/>
              <w:color w:val="000000"/>
              <w:sz w:val="18"/>
              <w:szCs w:val="18"/>
            </w:rPr>
            <w:t>Tel</w:t>
          </w:r>
          <w:proofErr w:type="spellEnd"/>
          <w:r>
            <w:rPr>
              <w:rFonts w:cs="Calibri"/>
              <w:color w:val="000000"/>
              <w:sz w:val="18"/>
              <w:szCs w:val="18"/>
            </w:rPr>
            <w:t>: +55 63 3218-2563</w:t>
          </w:r>
        </w:p>
        <w:p w:rsidR="004F725C" w:rsidRDefault="00AD2265">
          <w:pPr>
            <w:widowControl w:val="0"/>
            <w:tabs>
              <w:tab w:val="center" w:pos="4252"/>
              <w:tab w:val="right" w:pos="8504"/>
            </w:tabs>
            <w:suppressAutoHyphens w:val="0"/>
            <w:ind w:left="373" w:hanging="339"/>
          </w:pPr>
          <w:hyperlink r:id="rId2" w:history="1">
            <w:r>
              <w:rPr>
                <w:rStyle w:val="LinkdaInternet"/>
                <w:rFonts w:cs="Calibri"/>
                <w:color w:val="0000FF"/>
                <w:sz w:val="18"/>
                <w:szCs w:val="18"/>
              </w:rPr>
              <w:t>gabexecutivo@controladoria.to.gov.br</w:t>
            </w:r>
          </w:hyperlink>
        </w:p>
        <w:p w:rsidR="004F725C" w:rsidRDefault="00AD2265">
          <w:pPr>
            <w:widowControl w:val="0"/>
            <w:tabs>
              <w:tab w:val="center" w:pos="4252"/>
              <w:tab w:val="right" w:pos="8504"/>
            </w:tabs>
            <w:suppressAutoHyphens w:val="0"/>
            <w:ind w:left="373" w:hanging="339"/>
          </w:pPr>
          <w:hyperlink r:id="rId3" w:history="1">
            <w:r>
              <w:rPr>
                <w:rStyle w:val="LinkdaInternet"/>
                <w:rFonts w:cs="Calibri"/>
                <w:color w:val="0000FF"/>
                <w:sz w:val="18"/>
                <w:szCs w:val="18"/>
              </w:rPr>
              <w:t>www.to.gov.br/</w:t>
            </w:r>
            <w:r>
              <w:rPr>
                <w:rStyle w:val="LinkdaInternet"/>
                <w:rFonts w:cs="Calibri"/>
                <w:color w:val="0000FF"/>
                <w:sz w:val="18"/>
                <w:szCs w:val="18"/>
              </w:rPr>
              <w:t>cge</w:t>
            </w:r>
          </w:hyperlink>
        </w:p>
      </w:tc>
    </w:tr>
  </w:tbl>
  <w:p w:rsidR="004F725C" w:rsidRDefault="004F72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344"/>
    <w:multiLevelType w:val="multilevel"/>
    <w:tmpl w:val="C2C47120"/>
    <w:lvl w:ilvl="0">
      <w:start w:val="1"/>
      <w:numFmt w:val="lowerLetter"/>
      <w:lvlText w:val="%1)"/>
      <w:lvlJc w:val="left"/>
      <w:pPr>
        <w:tabs>
          <w:tab w:val="num" w:pos="0"/>
        </w:tabs>
        <w:ind w:left="8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3" w:hanging="180"/>
      </w:pPr>
    </w:lvl>
  </w:abstractNum>
  <w:abstractNum w:abstractNumId="1">
    <w:nsid w:val="16917E44"/>
    <w:multiLevelType w:val="multilevel"/>
    <w:tmpl w:val="9A1225F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  <w:color w:val="000000"/>
        <w:sz w:val="18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2DAB3946"/>
    <w:multiLevelType w:val="multilevel"/>
    <w:tmpl w:val="CF6C05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379E6063"/>
    <w:multiLevelType w:val="multilevel"/>
    <w:tmpl w:val="FF4A6A1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b/>
        <w:sz w:val="18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4">
    <w:nsid w:val="47205352"/>
    <w:multiLevelType w:val="multilevel"/>
    <w:tmpl w:val="95CAD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FE709C5"/>
    <w:multiLevelType w:val="multilevel"/>
    <w:tmpl w:val="D278E1D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61F23FE5"/>
    <w:multiLevelType w:val="multilevel"/>
    <w:tmpl w:val="FF4CCB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72877B0E"/>
    <w:multiLevelType w:val="multilevel"/>
    <w:tmpl w:val="4BC08C5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5C"/>
    <w:rsid w:val="004F725C"/>
    <w:rsid w:val="00A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semiHidden/>
    <w:unhideWhenUsed/>
    <w:qFormat/>
    <w:pPr>
      <w:keepNext/>
      <w:keepLines/>
      <w:spacing w:before="40"/>
      <w:outlineLvl w:val="2"/>
    </w:pPr>
    <w:rPr>
      <w:rFonts w:ascii="Cambria" w:eastAsia="Calibri" w:hAnsi="Cambria" w:cs="DejaVu Sans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Pr>
      <w:vertAlign w:val="superscript"/>
    </w:rPr>
  </w:style>
  <w:style w:type="character" w:customStyle="1" w:styleId="Ttulo3Char">
    <w:name w:val="Título 3 Char"/>
    <w:basedOn w:val="Fontepargpadro"/>
    <w:qFormat/>
    <w:rPr>
      <w:rFonts w:ascii="Cambria" w:eastAsia="Calibri" w:hAnsi="Cambria" w:cs="DejaVu Sans"/>
      <w:color w:val="243F60"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notaderodap">
    <w:name w:val="footnote text"/>
    <w:basedOn w:val="Normal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semiHidden/>
    <w:unhideWhenUsed/>
    <w:qFormat/>
    <w:pPr>
      <w:keepNext/>
      <w:keepLines/>
      <w:spacing w:before="40"/>
      <w:outlineLvl w:val="2"/>
    </w:pPr>
    <w:rPr>
      <w:rFonts w:ascii="Cambria" w:eastAsia="Calibri" w:hAnsi="Cambria" w:cs="DejaVu Sans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Pr>
      <w:vertAlign w:val="superscript"/>
    </w:rPr>
  </w:style>
  <w:style w:type="character" w:customStyle="1" w:styleId="Ttulo3Char">
    <w:name w:val="Título 3 Char"/>
    <w:basedOn w:val="Fontepargpadro"/>
    <w:qFormat/>
    <w:rPr>
      <w:rFonts w:ascii="Cambria" w:eastAsia="Calibri" w:hAnsi="Cambria" w:cs="DejaVu Sans"/>
      <w:color w:val="243F60"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notaderodap">
    <w:name w:val="footnote text"/>
    <w:basedOn w:val="Normal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.gov.br/cg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.gov.br/cge" TargetMode="External"/><Relationship Id="rId2" Type="http://schemas.openxmlformats.org/officeDocument/2006/relationships/hyperlink" Target="mailto:gabexecutivo@controladoria.to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745C-1CE9-40E1-A029-E02D6AAA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BURGEL DE CASTRO</dc:creator>
  <cp:lastModifiedBy>AMANDA FELIX RIBEIRO</cp:lastModifiedBy>
  <cp:revision>2</cp:revision>
  <cp:lastPrinted>2017-05-24T16:19:00Z</cp:lastPrinted>
  <dcterms:created xsi:type="dcterms:W3CDTF">2021-12-17T11:54:00Z</dcterms:created>
  <dcterms:modified xsi:type="dcterms:W3CDTF">2021-12-17T11:54:00Z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