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15" w:rsidRPr="005723EE" w:rsidRDefault="00271115" w:rsidP="005723EE">
      <w:pPr>
        <w:spacing w:before="120" w:after="120"/>
        <w:jc w:val="center"/>
        <w:rPr>
          <w:rFonts w:eastAsia="Arial"/>
          <w:b/>
          <w:sz w:val="18"/>
          <w:szCs w:val="18"/>
          <w:lang w:eastAsia="en-US"/>
        </w:rPr>
      </w:pPr>
      <w:r w:rsidRPr="005723EE">
        <w:rPr>
          <w:rFonts w:eastAsia="Arial"/>
          <w:b/>
          <w:sz w:val="18"/>
          <w:szCs w:val="18"/>
          <w:lang w:eastAsia="en-US"/>
        </w:rPr>
        <w:t>CHECKLIST</w:t>
      </w:r>
    </w:p>
    <w:p w:rsidR="009C16C8" w:rsidRPr="005723EE" w:rsidRDefault="009C16C8" w:rsidP="005723EE">
      <w:pPr>
        <w:spacing w:before="120" w:after="120"/>
        <w:jc w:val="center"/>
        <w:rPr>
          <w:rFonts w:eastAsia="Calibri"/>
          <w:sz w:val="18"/>
          <w:szCs w:val="18"/>
          <w:lang w:eastAsia="en-US"/>
        </w:rPr>
      </w:pPr>
    </w:p>
    <w:p w:rsidR="00271115" w:rsidRPr="005723EE" w:rsidRDefault="001354BA" w:rsidP="005723EE">
      <w:pPr>
        <w:spacing w:before="120" w:after="120"/>
        <w:jc w:val="center"/>
        <w:rPr>
          <w:rFonts w:eastAsia="Calibri"/>
          <w:sz w:val="18"/>
          <w:szCs w:val="18"/>
          <w:lang w:eastAsia="en-US"/>
        </w:rPr>
      </w:pPr>
      <w:r w:rsidRPr="005723EE">
        <w:rPr>
          <w:rFonts w:eastAsia="Arial"/>
          <w:b/>
          <w:sz w:val="18"/>
          <w:szCs w:val="18"/>
          <w:u w:val="single"/>
          <w:lang w:eastAsia="en-US"/>
        </w:rPr>
        <w:t>ALTERAÇÃO DE CONTRATO</w:t>
      </w:r>
    </w:p>
    <w:p w:rsidR="00271115" w:rsidRPr="005723EE" w:rsidRDefault="00271115" w:rsidP="005723EE">
      <w:pPr>
        <w:spacing w:before="120" w:after="120"/>
        <w:rPr>
          <w:rFonts w:eastAsia="Arial"/>
          <w:b/>
          <w:sz w:val="18"/>
          <w:szCs w:val="18"/>
          <w:u w:val="single"/>
          <w:lang w:eastAsia="en-US"/>
        </w:rPr>
      </w:pPr>
    </w:p>
    <w:p w:rsidR="00271115" w:rsidRPr="005723EE" w:rsidRDefault="00271115" w:rsidP="005723EE">
      <w:pPr>
        <w:spacing w:before="120" w:after="120"/>
        <w:rPr>
          <w:rFonts w:eastAsia="Calibri"/>
          <w:sz w:val="18"/>
          <w:szCs w:val="18"/>
          <w:lang w:eastAsia="en-US"/>
        </w:rPr>
      </w:pPr>
      <w:r w:rsidRPr="005723EE">
        <w:rPr>
          <w:rFonts w:eastAsia="Arial"/>
          <w:sz w:val="18"/>
          <w:szCs w:val="18"/>
          <w:lang w:eastAsia="en-US"/>
        </w:rPr>
        <w:t>Órgão/Entidade: __________________________________________</w:t>
      </w:r>
      <w:r w:rsidR="009C16C8" w:rsidRPr="005723EE">
        <w:rPr>
          <w:rFonts w:eastAsia="Arial"/>
          <w:sz w:val="18"/>
          <w:szCs w:val="18"/>
          <w:lang w:eastAsia="en-US"/>
        </w:rPr>
        <w:t>_______</w:t>
      </w:r>
      <w:r w:rsidRPr="005723EE">
        <w:rPr>
          <w:rFonts w:eastAsia="Arial"/>
          <w:sz w:val="18"/>
          <w:szCs w:val="18"/>
          <w:lang w:eastAsia="en-US"/>
        </w:rPr>
        <w:t>____________________________________________</w:t>
      </w:r>
    </w:p>
    <w:p w:rsidR="00271115" w:rsidRPr="005723EE" w:rsidRDefault="00271115" w:rsidP="005723EE">
      <w:pPr>
        <w:spacing w:before="120" w:after="120"/>
        <w:rPr>
          <w:rFonts w:eastAsia="Calibri"/>
          <w:sz w:val="18"/>
          <w:szCs w:val="18"/>
          <w:lang w:eastAsia="en-US"/>
        </w:rPr>
      </w:pPr>
      <w:r w:rsidRPr="005723EE">
        <w:rPr>
          <w:rFonts w:eastAsia="Arial"/>
          <w:sz w:val="18"/>
          <w:szCs w:val="18"/>
          <w:lang w:eastAsia="en-US"/>
        </w:rPr>
        <w:t>Processo nº: _____________________________________________</w:t>
      </w:r>
      <w:r w:rsidR="009C16C8" w:rsidRPr="005723EE">
        <w:rPr>
          <w:rFonts w:eastAsia="Arial"/>
          <w:sz w:val="18"/>
          <w:szCs w:val="18"/>
          <w:lang w:eastAsia="en-US"/>
        </w:rPr>
        <w:t>______</w:t>
      </w:r>
      <w:r w:rsidRPr="005723EE">
        <w:rPr>
          <w:rFonts w:eastAsia="Arial"/>
          <w:sz w:val="18"/>
          <w:szCs w:val="18"/>
          <w:lang w:eastAsia="en-US"/>
        </w:rPr>
        <w:t>_____________________________________________</w:t>
      </w:r>
    </w:p>
    <w:p w:rsidR="00271115" w:rsidRPr="005723EE" w:rsidRDefault="00271115" w:rsidP="005723EE">
      <w:pPr>
        <w:spacing w:before="120" w:after="120"/>
        <w:rPr>
          <w:rFonts w:eastAsia="Calibri"/>
          <w:sz w:val="18"/>
          <w:szCs w:val="18"/>
          <w:lang w:eastAsia="en-US"/>
        </w:rPr>
      </w:pPr>
      <w:r w:rsidRPr="005723EE">
        <w:rPr>
          <w:rFonts w:eastAsia="Arial"/>
          <w:sz w:val="18"/>
          <w:szCs w:val="18"/>
          <w:lang w:eastAsia="en-US"/>
        </w:rPr>
        <w:t>Contrato nº:______________________________ Período de vigência: _______</w:t>
      </w:r>
      <w:r w:rsidR="009C16C8" w:rsidRPr="005723EE">
        <w:rPr>
          <w:rFonts w:eastAsia="Arial"/>
          <w:sz w:val="18"/>
          <w:szCs w:val="18"/>
          <w:lang w:eastAsia="en-US"/>
        </w:rPr>
        <w:t>______</w:t>
      </w:r>
      <w:r w:rsidRPr="005723EE">
        <w:rPr>
          <w:rFonts w:eastAsia="Arial"/>
          <w:sz w:val="18"/>
          <w:szCs w:val="18"/>
          <w:lang w:eastAsia="en-US"/>
        </w:rPr>
        <w:t>____________________________________</w:t>
      </w:r>
    </w:p>
    <w:p w:rsidR="00271115" w:rsidRPr="005723EE" w:rsidRDefault="00271115" w:rsidP="005723EE">
      <w:pPr>
        <w:spacing w:before="120" w:after="120"/>
        <w:rPr>
          <w:sz w:val="18"/>
          <w:szCs w:val="18"/>
          <w:lang w:eastAsia="en-US"/>
        </w:rPr>
      </w:pPr>
    </w:p>
    <w:p w:rsidR="00271115" w:rsidRPr="005723EE" w:rsidRDefault="00271115" w:rsidP="006B0524">
      <w:pPr>
        <w:widowControl w:val="0"/>
        <w:spacing w:before="120" w:after="120" w:line="360" w:lineRule="auto"/>
        <w:rPr>
          <w:rFonts w:eastAsia="Calibri"/>
          <w:sz w:val="18"/>
          <w:szCs w:val="18"/>
          <w:lang w:eastAsia="en-US"/>
        </w:rPr>
      </w:pPr>
      <w:r w:rsidRPr="005723EE">
        <w:rPr>
          <w:rFonts w:eastAsia="Arial"/>
          <w:b/>
          <w:sz w:val="18"/>
          <w:szCs w:val="18"/>
          <w:lang w:eastAsia="en-US"/>
        </w:rPr>
        <w:t>Alteração dos Contratos administrativos</w:t>
      </w:r>
      <w:r w:rsidRPr="005723EE">
        <w:rPr>
          <w:rFonts w:eastAsia="Arial"/>
          <w:sz w:val="18"/>
          <w:szCs w:val="18"/>
          <w:lang w:eastAsia="en-US"/>
        </w:rPr>
        <w:t xml:space="preserve"> é uma exigência legítima, preceito de ordem pública e, para tanto, a lei específica elenca as condições possíveis dessas modificações.</w:t>
      </w:r>
      <w:r w:rsidRPr="005723EE">
        <w:rPr>
          <w:rFonts w:eastAsia="Calibri"/>
          <w:color w:val="333333"/>
          <w:sz w:val="18"/>
          <w:szCs w:val="18"/>
          <w:shd w:val="clear" w:color="auto" w:fill="FFFFFF"/>
          <w:lang w:eastAsia="en-US"/>
        </w:rPr>
        <w:t xml:space="preserve"> </w:t>
      </w:r>
      <w:r w:rsidRPr="005723EE">
        <w:rPr>
          <w:rFonts w:eastAsia="Arial"/>
          <w:sz w:val="18"/>
          <w:szCs w:val="18"/>
          <w:lang w:eastAsia="en-US"/>
        </w:rPr>
        <w:t xml:space="preserve">O artigo 65, Seção III, da Lei </w:t>
      </w:r>
      <w:r w:rsidR="004E0372">
        <w:rPr>
          <w:rFonts w:eastAsia="Arial"/>
          <w:sz w:val="18"/>
          <w:szCs w:val="18"/>
          <w:lang w:eastAsia="en-US"/>
        </w:rPr>
        <w:t>Federal n</w:t>
      </w:r>
      <w:r w:rsidRPr="005723EE">
        <w:rPr>
          <w:rFonts w:eastAsia="Arial"/>
          <w:sz w:val="18"/>
          <w:szCs w:val="18"/>
          <w:lang w:eastAsia="en-US"/>
        </w:rPr>
        <w:t xml:space="preserve">º 8.666/93, que regulamenta o art. 37, </w:t>
      </w:r>
      <w:r w:rsidRPr="005723EE">
        <w:rPr>
          <w:rFonts w:eastAsia="Calibri"/>
          <w:sz w:val="18"/>
          <w:szCs w:val="18"/>
          <w:lang w:eastAsia="en-US"/>
        </w:rPr>
        <w:t>inc.</w:t>
      </w:r>
      <w:r w:rsidRPr="005723EE">
        <w:rPr>
          <w:rFonts w:eastAsia="Arial"/>
          <w:sz w:val="18"/>
          <w:szCs w:val="18"/>
          <w:lang w:eastAsia="en-US"/>
        </w:rPr>
        <w:t xml:space="preserve"> XXI da Constituição Federal, dispõe sobre a alteração dos contratos administrativos, reclamando as justificativas necessárias para as modificações.</w:t>
      </w:r>
    </w:p>
    <w:p w:rsidR="00271115" w:rsidRPr="00271115" w:rsidRDefault="00271115" w:rsidP="009C16C8">
      <w:pPr>
        <w:spacing w:after="160"/>
        <w:rPr>
          <w:sz w:val="18"/>
          <w:szCs w:val="18"/>
          <w:lang w:eastAsia="en-US"/>
        </w:rPr>
      </w:pPr>
    </w:p>
    <w:p w:rsidR="00271115" w:rsidRPr="00271115" w:rsidRDefault="00271115" w:rsidP="009C16C8">
      <w:pPr>
        <w:spacing w:after="160"/>
        <w:rPr>
          <w:rFonts w:eastAsia="Calibri"/>
          <w:sz w:val="18"/>
          <w:szCs w:val="18"/>
          <w:lang w:eastAsia="en-US"/>
        </w:rPr>
      </w:pPr>
      <w:r w:rsidRPr="00271115">
        <w:rPr>
          <w:rFonts w:eastAsia="Arial"/>
          <w:b/>
          <w:sz w:val="18"/>
          <w:szCs w:val="18"/>
          <w:lang w:eastAsia="en-US"/>
        </w:rPr>
        <w:t>Legenda: S = Sim; N = Não; NA = Não se Aplica</w:t>
      </w:r>
      <w:r w:rsidRPr="00271115">
        <w:rPr>
          <w:rFonts w:eastAsia="Calibri"/>
          <w:sz w:val="18"/>
          <w:szCs w:val="18"/>
          <w:lang w:eastAsia="en-US"/>
        </w:rPr>
        <w:t>.</w:t>
      </w:r>
    </w:p>
    <w:tbl>
      <w:tblPr>
        <w:tblW w:w="5000" w:type="pct"/>
        <w:tblCellMar>
          <w:left w:w="70" w:type="dxa"/>
          <w:right w:w="70" w:type="dxa"/>
        </w:tblCellMar>
        <w:tblLook w:val="0000" w:firstRow="0" w:lastRow="0" w:firstColumn="0" w:lastColumn="0" w:noHBand="0" w:noVBand="0"/>
      </w:tblPr>
      <w:tblGrid>
        <w:gridCol w:w="5617"/>
        <w:gridCol w:w="2153"/>
        <w:gridCol w:w="1148"/>
        <w:gridCol w:w="860"/>
      </w:tblGrid>
      <w:tr w:rsidR="00271115" w:rsidRPr="00271115" w:rsidTr="004E0372">
        <w:tc>
          <w:tcPr>
            <w:tcW w:w="2872" w:type="pct"/>
            <w:tcBorders>
              <w:top w:val="single" w:sz="4" w:space="0" w:color="000000"/>
              <w:left w:val="single" w:sz="4" w:space="0" w:color="000000"/>
              <w:bottom w:val="single" w:sz="4" w:space="0" w:color="000000"/>
            </w:tcBorders>
            <w:shd w:val="clear" w:color="auto" w:fill="A6A6A6" w:themeFill="background1" w:themeFillShade="A6"/>
            <w:vAlign w:val="center"/>
          </w:tcPr>
          <w:p w:rsidR="00271115" w:rsidRPr="00031FC3" w:rsidRDefault="00031FC3" w:rsidP="00031FC3">
            <w:pPr>
              <w:widowControl w:val="0"/>
              <w:spacing w:after="160" w:line="276" w:lineRule="auto"/>
              <w:ind w:left="5" w:right="142"/>
              <w:jc w:val="center"/>
              <w:rPr>
                <w:rFonts w:eastAsia="Arial"/>
                <w:b/>
                <w:sz w:val="18"/>
                <w:szCs w:val="18"/>
                <w:lang w:eastAsia="en-US"/>
              </w:rPr>
            </w:pPr>
            <w:r w:rsidRPr="00271115">
              <w:rPr>
                <w:rFonts w:eastAsia="Arial"/>
                <w:b/>
                <w:sz w:val="18"/>
                <w:szCs w:val="18"/>
                <w:lang w:eastAsia="en-US"/>
              </w:rPr>
              <w:t xml:space="preserve">Exigências </w:t>
            </w:r>
            <w:r>
              <w:rPr>
                <w:rFonts w:eastAsia="Arial"/>
                <w:b/>
                <w:sz w:val="18"/>
                <w:szCs w:val="18"/>
                <w:lang w:eastAsia="en-US"/>
              </w:rPr>
              <w:t>para Formalização de Procedimentos p</w:t>
            </w:r>
            <w:r w:rsidRPr="00271115">
              <w:rPr>
                <w:rFonts w:eastAsia="Arial"/>
                <w:b/>
                <w:sz w:val="18"/>
                <w:szCs w:val="18"/>
                <w:lang w:eastAsia="en-US"/>
              </w:rPr>
              <w:t xml:space="preserve">ara </w:t>
            </w:r>
            <w:r>
              <w:rPr>
                <w:rFonts w:eastAsia="Arial"/>
                <w:b/>
                <w:sz w:val="18"/>
                <w:szCs w:val="18"/>
                <w:lang w:eastAsia="en-US"/>
              </w:rPr>
              <w:t xml:space="preserve"> Alteração d</w:t>
            </w:r>
            <w:r w:rsidRPr="00271115">
              <w:rPr>
                <w:rFonts w:eastAsia="Arial"/>
                <w:b/>
                <w:sz w:val="18"/>
                <w:szCs w:val="18"/>
                <w:lang w:eastAsia="en-US"/>
              </w:rPr>
              <w:t>e Contrato</w:t>
            </w:r>
          </w:p>
        </w:tc>
        <w:tc>
          <w:tcPr>
            <w:tcW w:w="1101" w:type="pct"/>
            <w:tcBorders>
              <w:top w:val="single" w:sz="4" w:space="0" w:color="000000"/>
              <w:left w:val="single" w:sz="4" w:space="0" w:color="000000"/>
              <w:bottom w:val="single" w:sz="4" w:space="0" w:color="000000"/>
            </w:tcBorders>
            <w:shd w:val="clear" w:color="auto" w:fill="A6A6A6" w:themeFill="background1" w:themeFillShade="A6"/>
            <w:vAlign w:val="center"/>
          </w:tcPr>
          <w:p w:rsidR="00271115" w:rsidRPr="00271115" w:rsidRDefault="00271115" w:rsidP="00271115">
            <w:pPr>
              <w:widowControl w:val="0"/>
              <w:spacing w:after="160" w:line="276" w:lineRule="auto"/>
              <w:jc w:val="center"/>
              <w:rPr>
                <w:rFonts w:eastAsia="Calibri"/>
                <w:sz w:val="18"/>
                <w:szCs w:val="18"/>
                <w:lang w:eastAsia="en-US"/>
              </w:rPr>
            </w:pPr>
            <w:r w:rsidRPr="00271115">
              <w:rPr>
                <w:rFonts w:eastAsia="Arial"/>
                <w:b/>
                <w:sz w:val="18"/>
                <w:szCs w:val="18"/>
                <w:lang w:eastAsia="en-US"/>
              </w:rPr>
              <w:t>Responsável</w:t>
            </w:r>
          </w:p>
        </w:tc>
        <w:tc>
          <w:tcPr>
            <w:tcW w:w="587" w:type="pct"/>
            <w:tcBorders>
              <w:top w:val="single" w:sz="4" w:space="0" w:color="000000"/>
              <w:left w:val="single" w:sz="4" w:space="0" w:color="000000"/>
              <w:bottom w:val="single" w:sz="4" w:space="0" w:color="000000"/>
            </w:tcBorders>
            <w:shd w:val="clear" w:color="auto" w:fill="A6A6A6" w:themeFill="background1" w:themeFillShade="A6"/>
            <w:vAlign w:val="center"/>
          </w:tcPr>
          <w:p w:rsidR="00271115" w:rsidRPr="00271115" w:rsidRDefault="00271115" w:rsidP="00271115">
            <w:pPr>
              <w:widowControl w:val="0"/>
              <w:spacing w:after="160" w:line="276" w:lineRule="auto"/>
              <w:jc w:val="center"/>
              <w:rPr>
                <w:rFonts w:eastAsia="Calibri"/>
                <w:sz w:val="18"/>
                <w:szCs w:val="18"/>
                <w:lang w:eastAsia="en-US"/>
              </w:rPr>
            </w:pPr>
            <w:r w:rsidRPr="00271115">
              <w:rPr>
                <w:rFonts w:eastAsia="Arial"/>
                <w:b/>
                <w:sz w:val="18"/>
                <w:szCs w:val="18"/>
                <w:lang w:eastAsia="en-US"/>
              </w:rPr>
              <w:t>S/N/NA</w:t>
            </w:r>
          </w:p>
        </w:tc>
        <w:tc>
          <w:tcPr>
            <w:tcW w:w="44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71115" w:rsidRPr="00271115" w:rsidRDefault="00271115" w:rsidP="00271115">
            <w:pPr>
              <w:widowControl w:val="0"/>
              <w:spacing w:after="160" w:line="276" w:lineRule="auto"/>
              <w:jc w:val="center"/>
              <w:rPr>
                <w:rFonts w:eastAsia="Calibri"/>
                <w:sz w:val="18"/>
                <w:szCs w:val="18"/>
                <w:lang w:eastAsia="en-US"/>
              </w:rPr>
            </w:pPr>
            <w:r w:rsidRPr="00271115">
              <w:rPr>
                <w:rFonts w:eastAsia="Arial"/>
                <w:b/>
                <w:sz w:val="18"/>
                <w:szCs w:val="18"/>
                <w:lang w:eastAsia="en-US"/>
              </w:rPr>
              <w:t>Folha</w:t>
            </w: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3"/>
              </w:numPr>
              <w:suppressAutoHyphens/>
              <w:spacing w:after="160" w:line="276" w:lineRule="auto"/>
              <w:ind w:left="371" w:right="142" w:hanging="284"/>
              <w:rPr>
                <w:rFonts w:eastAsia="Calibri"/>
                <w:sz w:val="18"/>
                <w:szCs w:val="18"/>
                <w:lang w:eastAsia="en-US"/>
              </w:rPr>
            </w:pPr>
            <w:r w:rsidRPr="00271115">
              <w:rPr>
                <w:sz w:val="18"/>
                <w:szCs w:val="18"/>
                <w:lang w:eastAsia="en-US"/>
              </w:rPr>
              <w:t>Consta a justificativa da autoridade competente para alteração contratual, em conformidade com a cláusula prevista no contrato para prorrogação de prazo ou alteração do valor? (art. 57, § 2º c/c art. 65 da Lei nº 8.666/93 e Decreto de Execução Orçamentário vigente)</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3"/>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Consta cópia do contrato e planilhas? </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numPr>
                <w:ilvl w:val="0"/>
                <w:numId w:val="3"/>
              </w:numPr>
              <w:suppressAutoHyphens/>
              <w:spacing w:after="160" w:line="276" w:lineRule="auto"/>
              <w:ind w:left="371" w:right="141" w:hanging="284"/>
              <w:rPr>
                <w:rFonts w:eastAsia="Calibri"/>
                <w:sz w:val="18"/>
                <w:szCs w:val="18"/>
                <w:lang w:eastAsia="en-US"/>
              </w:rPr>
            </w:pPr>
            <w:r w:rsidRPr="00271115">
              <w:rPr>
                <w:rFonts w:eastAsia="Calibri"/>
                <w:sz w:val="18"/>
                <w:szCs w:val="18"/>
                <w:lang w:eastAsia="en-US"/>
              </w:rPr>
              <w:t xml:space="preserve">Quando a alteração se der unilateralmente pela Administração, mediante justificativa, esta decorreu da: (art. 65, </w:t>
            </w:r>
            <w:r w:rsidRPr="00271115">
              <w:rPr>
                <w:rFonts w:ascii="Calibri" w:eastAsia="Calibri" w:hAnsi="Calibri"/>
                <w:sz w:val="18"/>
                <w:szCs w:val="18"/>
                <w:lang w:eastAsia="en-US"/>
              </w:rPr>
              <w:t>inc.</w:t>
            </w:r>
            <w:r w:rsidRPr="00271115">
              <w:rPr>
                <w:rFonts w:eastAsia="Calibri"/>
                <w:sz w:val="18"/>
                <w:szCs w:val="18"/>
                <w:lang w:eastAsia="en-US"/>
              </w:rPr>
              <w:t xml:space="preserve"> I, alínea “a” e “b” da Lei nº 8.666/93)</w:t>
            </w: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5"/>
              </w:numPr>
              <w:suppressAutoHyphens/>
              <w:spacing w:after="160" w:line="252" w:lineRule="auto"/>
              <w:ind w:left="371" w:right="142" w:hanging="284"/>
              <w:rPr>
                <w:rFonts w:eastAsia="Calibri"/>
                <w:sz w:val="18"/>
                <w:szCs w:val="18"/>
                <w:lang w:eastAsia="en-US"/>
              </w:rPr>
            </w:pPr>
            <w:r w:rsidRPr="00271115">
              <w:rPr>
                <w:rFonts w:eastAsia="Calibri"/>
                <w:sz w:val="18"/>
                <w:szCs w:val="18"/>
                <w:lang w:eastAsia="en-US"/>
              </w:rPr>
              <w:t xml:space="preserve">Modificação do projeto ou das especificações para melhor adequação técnica aos objetivos da Administração? </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5"/>
              </w:numPr>
              <w:suppressAutoHyphens/>
              <w:spacing w:after="160" w:line="252" w:lineRule="auto"/>
              <w:ind w:left="371" w:right="142" w:hanging="284"/>
              <w:rPr>
                <w:rFonts w:eastAsia="Calibri"/>
                <w:sz w:val="18"/>
                <w:szCs w:val="18"/>
                <w:lang w:eastAsia="en-US"/>
              </w:rPr>
            </w:pPr>
            <w:r w:rsidRPr="00271115">
              <w:rPr>
                <w:rFonts w:eastAsia="Calibri"/>
                <w:sz w:val="18"/>
                <w:szCs w:val="18"/>
                <w:lang w:eastAsia="en-US"/>
              </w:rPr>
              <w:t>Modificação necessária do valor contratual em decorrência de acréscimo ou diminuição quantitativa de seu objeto, nos limites permitidos na Lei Federal nº 8.666/1993?</w:t>
            </w:r>
            <w:r w:rsidRPr="00271115">
              <w:rPr>
                <w:rFonts w:eastAsia="Calibri"/>
                <w:b/>
                <w:sz w:val="18"/>
                <w:szCs w:val="18"/>
                <w:vertAlign w:val="superscript"/>
                <w:lang w:eastAsia="en-US"/>
              </w:rPr>
              <w:footnoteReference w:id="1"/>
            </w:r>
            <w:r w:rsidRPr="00271115">
              <w:rPr>
                <w:rFonts w:eastAsia="Calibri"/>
                <w:sz w:val="18"/>
                <w:szCs w:val="18"/>
                <w:lang w:eastAsia="en-US"/>
              </w:rPr>
              <w:t xml:space="preserve"> </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numPr>
                <w:ilvl w:val="0"/>
                <w:numId w:val="3"/>
              </w:numPr>
              <w:suppressAutoHyphens/>
              <w:spacing w:after="160" w:line="276" w:lineRule="auto"/>
              <w:ind w:left="371" w:right="141" w:hanging="284"/>
              <w:rPr>
                <w:rFonts w:eastAsia="Calibri"/>
                <w:sz w:val="18"/>
                <w:szCs w:val="18"/>
                <w:lang w:eastAsia="en-US"/>
              </w:rPr>
            </w:pPr>
            <w:r w:rsidRPr="00271115">
              <w:rPr>
                <w:rFonts w:eastAsia="Calibri"/>
                <w:sz w:val="18"/>
                <w:szCs w:val="18"/>
                <w:lang w:eastAsia="en-US"/>
              </w:rPr>
              <w:t>Quando a alteração se der por acordo entre as partes, mediante justificativa, esta decorreu:</w:t>
            </w: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4"/>
              </w:numPr>
              <w:suppressAutoHyphens/>
              <w:spacing w:after="160" w:line="276" w:lineRule="auto"/>
              <w:ind w:left="371" w:hanging="284"/>
              <w:rPr>
                <w:rFonts w:eastAsia="Calibri"/>
                <w:sz w:val="18"/>
                <w:szCs w:val="18"/>
                <w:lang w:eastAsia="en-US"/>
              </w:rPr>
            </w:pPr>
            <w:r w:rsidRPr="00271115">
              <w:rPr>
                <w:rFonts w:eastAsia="Calibri"/>
                <w:sz w:val="18"/>
                <w:szCs w:val="18"/>
                <w:lang w:eastAsia="en-US"/>
              </w:rPr>
              <w:t xml:space="preserve">Conveniência de substituição da garantia de execução? (art. 65, </w:t>
            </w:r>
            <w:r w:rsidRPr="00271115">
              <w:rPr>
                <w:rFonts w:ascii="Calibri" w:eastAsia="Calibri" w:hAnsi="Calibri"/>
                <w:sz w:val="18"/>
                <w:szCs w:val="18"/>
                <w:lang w:eastAsia="en-US"/>
              </w:rPr>
              <w:t>inc.</w:t>
            </w:r>
            <w:r w:rsidRPr="00271115">
              <w:rPr>
                <w:rFonts w:eastAsia="Calibri"/>
                <w:sz w:val="18"/>
                <w:szCs w:val="18"/>
                <w:lang w:eastAsia="en-US"/>
              </w:rPr>
              <w:t xml:space="preserve"> II, “a” da Lei nº 8.666/93) </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4"/>
              </w:numPr>
              <w:suppressAutoHyphens/>
              <w:spacing w:after="160" w:line="276" w:lineRule="auto"/>
              <w:ind w:left="371" w:right="57" w:hanging="284"/>
              <w:rPr>
                <w:rFonts w:eastAsia="Calibri"/>
                <w:sz w:val="18"/>
                <w:szCs w:val="18"/>
                <w:lang w:eastAsia="en-US"/>
              </w:rPr>
            </w:pPr>
            <w:r w:rsidRPr="00271115">
              <w:rPr>
                <w:rFonts w:eastAsia="Calibri"/>
                <w:sz w:val="18"/>
                <w:szCs w:val="18"/>
                <w:lang w:eastAsia="en-US"/>
              </w:rPr>
              <w:t xml:space="preserve">Necessidade de modificação do regime de execução da obra ou serviço, bem como do modo de fornecimento, em face de verificação técnica da inaplicabilidade dos termos contratuais originários? (art. </w:t>
            </w:r>
            <w:r w:rsidRPr="00271115">
              <w:rPr>
                <w:rFonts w:eastAsia="Calibri"/>
                <w:sz w:val="18"/>
                <w:szCs w:val="18"/>
                <w:lang w:eastAsia="en-US"/>
              </w:rPr>
              <w:lastRenderedPageBreak/>
              <w:t xml:space="preserve">65, </w:t>
            </w:r>
            <w:r w:rsidRPr="00271115">
              <w:rPr>
                <w:rFonts w:ascii="Calibri" w:eastAsia="Calibri" w:hAnsi="Calibri"/>
                <w:sz w:val="18"/>
                <w:szCs w:val="18"/>
                <w:lang w:eastAsia="en-US"/>
              </w:rPr>
              <w:t>inc.</w:t>
            </w:r>
            <w:r w:rsidRPr="00271115">
              <w:rPr>
                <w:rFonts w:eastAsia="Calibri"/>
                <w:sz w:val="18"/>
                <w:szCs w:val="18"/>
                <w:lang w:eastAsia="en-US"/>
              </w:rPr>
              <w:t xml:space="preserve"> II, “b”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4"/>
              </w:numPr>
              <w:suppressAutoHyphens/>
              <w:spacing w:after="160" w:line="276" w:lineRule="auto"/>
              <w:ind w:left="371" w:hanging="284"/>
              <w:rPr>
                <w:rFonts w:eastAsia="Calibri"/>
                <w:sz w:val="18"/>
                <w:szCs w:val="18"/>
                <w:lang w:eastAsia="en-US"/>
              </w:rPr>
            </w:pPr>
            <w:r w:rsidRPr="00271115">
              <w:rPr>
                <w:rFonts w:eastAsia="Calibri"/>
                <w:sz w:val="18"/>
                <w:szCs w:val="18"/>
                <w:lang w:eastAsia="en-US"/>
              </w:rPr>
              <w:lastRenderedPageBreak/>
              <w:t>Necessidade de modificação da forma de pagamento, por imposição de circunstâncias superveniente mantida o valor inicial atualizado</w:t>
            </w:r>
            <w:r w:rsidRPr="00271115">
              <w:rPr>
                <w:rFonts w:eastAsia="Calibri"/>
                <w:b/>
                <w:sz w:val="18"/>
                <w:szCs w:val="18"/>
                <w:vertAlign w:val="superscript"/>
                <w:lang w:eastAsia="en-US"/>
              </w:rPr>
              <w:footnoteReference w:id="2"/>
            </w:r>
            <w:r w:rsidRPr="00271115">
              <w:rPr>
                <w:rFonts w:eastAsia="Calibri"/>
                <w:sz w:val="18"/>
                <w:szCs w:val="18"/>
                <w:lang w:eastAsia="en-US"/>
              </w:rPr>
              <w:t xml:space="preserve">? (art. 65, </w:t>
            </w:r>
            <w:r w:rsidRPr="00271115">
              <w:rPr>
                <w:rFonts w:ascii="Calibri" w:eastAsia="Calibri" w:hAnsi="Calibri"/>
                <w:sz w:val="18"/>
                <w:szCs w:val="18"/>
                <w:lang w:eastAsia="en-US"/>
              </w:rPr>
              <w:t>inc.</w:t>
            </w:r>
            <w:r w:rsidRPr="00271115">
              <w:rPr>
                <w:rFonts w:eastAsia="Calibri"/>
                <w:sz w:val="18"/>
                <w:szCs w:val="18"/>
                <w:lang w:eastAsia="en-US"/>
              </w:rPr>
              <w:t xml:space="preserve"> II, “c”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4"/>
              </w:numPr>
              <w:suppressAutoHyphens/>
              <w:spacing w:after="160" w:line="276" w:lineRule="auto"/>
              <w:ind w:left="371" w:right="54" w:hanging="284"/>
              <w:rPr>
                <w:rFonts w:eastAsia="Calibri"/>
                <w:sz w:val="18"/>
                <w:szCs w:val="18"/>
                <w:lang w:eastAsia="en-US"/>
              </w:rPr>
            </w:pPr>
            <w:r w:rsidRPr="00271115">
              <w:rPr>
                <w:rFonts w:eastAsia="Calibri"/>
                <w:sz w:val="18"/>
                <w:szCs w:val="18"/>
                <w:lang w:eastAsia="en-US"/>
              </w:rPr>
              <w:t xml:space="preserve">Restabelecimento da relação em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área econômica extraordinária e extracontratual? (art. 65, </w:t>
            </w:r>
            <w:r w:rsidRPr="00271115">
              <w:rPr>
                <w:rFonts w:ascii="Calibri" w:eastAsia="Calibri" w:hAnsi="Calibri"/>
                <w:sz w:val="18"/>
                <w:szCs w:val="18"/>
                <w:lang w:eastAsia="en-US"/>
              </w:rPr>
              <w:t>inc.</w:t>
            </w:r>
            <w:r w:rsidRPr="00271115">
              <w:rPr>
                <w:rFonts w:eastAsia="Calibri"/>
                <w:sz w:val="18"/>
                <w:szCs w:val="18"/>
                <w:lang w:eastAsia="en-US"/>
              </w:rPr>
              <w:t xml:space="preserve"> II, “d”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vAlign w:val="center"/>
          </w:tcPr>
          <w:p w:rsidR="00271115" w:rsidRPr="004E0372" w:rsidRDefault="00271115" w:rsidP="00271115">
            <w:pPr>
              <w:widowControl w:val="0"/>
              <w:numPr>
                <w:ilvl w:val="0"/>
                <w:numId w:val="7"/>
              </w:numPr>
              <w:suppressAutoHyphens/>
              <w:spacing w:after="160" w:line="252" w:lineRule="auto"/>
              <w:ind w:left="371" w:hanging="284"/>
              <w:rPr>
                <w:rFonts w:eastAsia="Calibri"/>
                <w:sz w:val="18"/>
                <w:szCs w:val="18"/>
                <w:lang w:eastAsia="en-US"/>
              </w:rPr>
            </w:pPr>
            <w:r w:rsidRPr="004E0372">
              <w:rPr>
                <w:rFonts w:eastAsia="Calibri"/>
                <w:sz w:val="18"/>
                <w:szCs w:val="18"/>
                <w:shd w:val="clear" w:color="auto" w:fill="FFFFFF"/>
                <w:lang w:eastAsia="en-US"/>
              </w:rPr>
              <w:t>Nas despesas com obras e serviços de engenharia,</w:t>
            </w:r>
            <w:r w:rsidRPr="004E0372">
              <w:rPr>
                <w:rFonts w:eastAsia="Calibri"/>
                <w:sz w:val="18"/>
                <w:szCs w:val="18"/>
                <w:lang w:eastAsia="en-US"/>
              </w:rPr>
              <w:t xml:space="preserve"> no caso do contratado ter solicitado o restabelecimento do equilíbrio econômico-financeiro, </w:t>
            </w:r>
            <w:r w:rsidRPr="004E0372">
              <w:rPr>
                <w:rFonts w:eastAsia="Calibri"/>
                <w:sz w:val="18"/>
                <w:szCs w:val="18"/>
                <w:shd w:val="clear" w:color="auto" w:fill="FFFFFF"/>
                <w:lang w:eastAsia="en-US"/>
              </w:rPr>
              <w:t xml:space="preserve">reajustes, repactuações e/ou atualizações monetárias </w:t>
            </w:r>
            <w:r w:rsidRPr="004E0372">
              <w:rPr>
                <w:rFonts w:eastAsia="Calibri"/>
                <w:sz w:val="18"/>
                <w:szCs w:val="18"/>
                <w:lang w:eastAsia="en-US"/>
              </w:rPr>
              <w:t>durante a vigência contratual, a administração reconheceu  a solicitação? (art. 62 do Decreto orçamentário nº 6.407/2022)</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vAlign w:val="center"/>
          </w:tcPr>
          <w:p w:rsidR="00271115" w:rsidRPr="004E0372" w:rsidRDefault="00271115" w:rsidP="00271115">
            <w:pPr>
              <w:widowControl w:val="0"/>
              <w:numPr>
                <w:ilvl w:val="0"/>
                <w:numId w:val="9"/>
              </w:numPr>
              <w:tabs>
                <w:tab w:val="left" w:pos="371"/>
              </w:tabs>
              <w:suppressAutoHyphens/>
              <w:spacing w:after="160" w:line="259" w:lineRule="auto"/>
              <w:ind w:left="371" w:right="113" w:hanging="284"/>
              <w:contextualSpacing/>
              <w:rPr>
                <w:sz w:val="18"/>
                <w:szCs w:val="18"/>
              </w:rPr>
            </w:pPr>
            <w:r w:rsidRPr="004E0372">
              <w:rPr>
                <w:sz w:val="18"/>
                <w:szCs w:val="18"/>
              </w:rPr>
              <w:t xml:space="preserve">Houve </w:t>
            </w:r>
            <w:r w:rsidRPr="004E0372">
              <w:rPr>
                <w:sz w:val="18"/>
                <w:szCs w:val="18"/>
                <w:shd w:val="clear" w:color="auto" w:fill="FFFFFF"/>
              </w:rPr>
              <w:t xml:space="preserve">analise técnico e jurídico da Controladoria-Geral do Estado e da Procuradoria-Geral do Estado, respectivamente? </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7"/>
              </w:numPr>
              <w:suppressAutoHyphens/>
              <w:spacing w:after="160" w:line="252" w:lineRule="auto"/>
              <w:ind w:left="371" w:hanging="284"/>
              <w:rPr>
                <w:rFonts w:eastAsia="Calibri"/>
                <w:sz w:val="18"/>
                <w:szCs w:val="18"/>
                <w:lang w:eastAsia="en-US"/>
              </w:rPr>
            </w:pPr>
            <w:r w:rsidRPr="00271115">
              <w:rPr>
                <w:rFonts w:eastAsia="Calibri"/>
                <w:sz w:val="18"/>
                <w:szCs w:val="18"/>
                <w:lang w:eastAsia="en-US"/>
              </w:rPr>
              <w:t>No caso de supressão nas obras, serviços ou compras, foi observado o limite de 25% do valor inicial atualizado do contrato?</w:t>
            </w:r>
            <w:r w:rsidRPr="00271115">
              <w:rPr>
                <w:rFonts w:eastAsia="Calibri"/>
                <w:b/>
                <w:sz w:val="18"/>
                <w:szCs w:val="18"/>
                <w:vertAlign w:val="superscript"/>
                <w:lang w:eastAsia="en-US"/>
              </w:rPr>
              <w:footnoteReference w:id="3"/>
            </w:r>
            <w:r w:rsidRPr="00271115">
              <w:rPr>
                <w:rFonts w:eastAsia="Calibri"/>
                <w:sz w:val="18"/>
                <w:szCs w:val="18"/>
                <w:lang w:eastAsia="en-US"/>
              </w:rPr>
              <w:t xml:space="preserve"> (art. 65, §2º, </w:t>
            </w:r>
            <w:r w:rsidRPr="00271115">
              <w:rPr>
                <w:rFonts w:ascii="Calibri" w:eastAsia="Calibri" w:hAnsi="Calibri"/>
                <w:sz w:val="18"/>
                <w:szCs w:val="18"/>
                <w:lang w:eastAsia="en-US"/>
              </w:rPr>
              <w:t>inc.</w:t>
            </w:r>
            <w:r w:rsidRPr="00271115">
              <w:rPr>
                <w:rFonts w:eastAsia="Calibri"/>
                <w:sz w:val="18"/>
                <w:szCs w:val="18"/>
                <w:lang w:eastAsia="en-US"/>
              </w:rPr>
              <w:t xml:space="preserve"> II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vAlign w:val="center"/>
          </w:tcPr>
          <w:p w:rsidR="00271115" w:rsidRPr="00271115" w:rsidRDefault="00271115" w:rsidP="00271115">
            <w:pPr>
              <w:widowControl w:val="0"/>
              <w:numPr>
                <w:ilvl w:val="0"/>
                <w:numId w:val="7"/>
              </w:numPr>
              <w:suppressAutoHyphens/>
              <w:spacing w:after="160" w:line="252" w:lineRule="auto"/>
              <w:ind w:left="371" w:hanging="284"/>
              <w:rPr>
                <w:rFonts w:eastAsia="Calibri"/>
                <w:sz w:val="18"/>
                <w:szCs w:val="18"/>
                <w:lang w:eastAsia="en-US"/>
              </w:rPr>
            </w:pPr>
            <w:r w:rsidRPr="00271115">
              <w:rPr>
                <w:rFonts w:eastAsia="Calibri"/>
                <w:sz w:val="18"/>
                <w:szCs w:val="18"/>
                <w:lang w:eastAsia="en-US"/>
              </w:rPr>
              <w:t>Na hipótese de variação do valor contratual, esta decorreu de reajuste de preços ou atualizações previstas nos dispositivos contratuais? (Art. 65, §1º e §8º da Lei nº 8.666/93 e CF (Princípio da Economicidade)</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vAlign w:val="center"/>
          </w:tcPr>
          <w:p w:rsidR="00271115" w:rsidRPr="00271115" w:rsidRDefault="00271115" w:rsidP="00271115">
            <w:pPr>
              <w:widowControl w:val="0"/>
              <w:numPr>
                <w:ilvl w:val="0"/>
                <w:numId w:val="7"/>
              </w:numPr>
              <w:suppressAutoHyphens/>
              <w:spacing w:after="160" w:line="252" w:lineRule="auto"/>
              <w:ind w:left="371" w:hanging="284"/>
              <w:rPr>
                <w:rFonts w:eastAsia="Calibri"/>
                <w:sz w:val="18"/>
                <w:szCs w:val="18"/>
                <w:lang w:eastAsia="en-US"/>
              </w:rPr>
            </w:pPr>
            <w:r w:rsidRPr="00271115">
              <w:rPr>
                <w:rFonts w:eastAsia="Calibri"/>
                <w:sz w:val="18"/>
                <w:szCs w:val="18"/>
                <w:lang w:eastAsia="en-US"/>
              </w:rPr>
              <w:t>Na hipótese de alteração de cláusulas econômico-financeiras e monetárias, está se deu com manifestação prévia de concordância do contratado? (art. 58, §1º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bCs/>
                <w:sz w:val="18"/>
                <w:szCs w:val="18"/>
                <w:lang w:eastAsia="en-US"/>
              </w:rPr>
              <w:t xml:space="preserve">No caso de prorrogação do contrato com base no art. 57 (serviços continuados) consta orçamento que demonstra vantajosidade da prorrogação (no caso de aplicação de qualquer dos </w:t>
            </w:r>
            <w:r w:rsidRPr="00271115">
              <w:rPr>
                <w:rFonts w:ascii="Calibri" w:eastAsia="Calibri" w:hAnsi="Calibri"/>
                <w:sz w:val="18"/>
                <w:szCs w:val="18"/>
                <w:lang w:eastAsia="en-US"/>
              </w:rPr>
              <w:t>inc.</w:t>
            </w:r>
            <w:r w:rsidRPr="00271115">
              <w:rPr>
                <w:bCs/>
                <w:sz w:val="18"/>
                <w:szCs w:val="18"/>
                <w:lang w:eastAsia="en-US"/>
              </w:rPr>
              <w:t xml:space="preserve"> do art. 57 da Lei n.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Consta a memória de cálculo emitida pelo fiscal relativa às alterações realizadas que motivaram a solicitação ou planilha referente ao Termo Aditivo?</w:t>
            </w:r>
            <w:r w:rsidRPr="00271115">
              <w:rPr>
                <w:rFonts w:eastAsia="Arial"/>
                <w:b/>
                <w:sz w:val="18"/>
                <w:szCs w:val="18"/>
                <w:lang w:eastAsia="en-US"/>
              </w:rPr>
              <w:t xml:space="preserve"> (</w:t>
            </w:r>
            <w:r w:rsidRPr="00271115">
              <w:rPr>
                <w:rFonts w:eastAsia="Arial"/>
                <w:sz w:val="18"/>
                <w:szCs w:val="18"/>
                <w:lang w:eastAsia="en-US"/>
              </w:rPr>
              <w:t>art. 67, § 1º e 8º</w:t>
            </w:r>
            <w:r w:rsidRPr="00271115">
              <w:rPr>
                <w:sz w:val="18"/>
                <w:szCs w:val="18"/>
                <w:lang w:eastAsia="en-US"/>
              </w:rPr>
              <w:t xml:space="preserve"> da Lei nº 8.666/93</w:t>
            </w:r>
            <w:r w:rsidRPr="00271115">
              <w:rPr>
                <w:rFonts w:eastAsia="Arial"/>
                <w:sz w:val="18"/>
                <w:szCs w:val="18"/>
                <w:lang w:eastAsia="en-US"/>
              </w:rPr>
              <w:t>)</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Consta demonstrativo do índice de reajuste dos últimos 12 (doze) meses, no caso de contrato de locação?</w:t>
            </w:r>
            <w:r w:rsidRPr="00271115">
              <w:rPr>
                <w:rFonts w:eastAsia="Arial"/>
                <w:b/>
                <w:sz w:val="18"/>
                <w:szCs w:val="18"/>
                <w:lang w:eastAsia="en-US"/>
              </w:rPr>
              <w:t xml:space="preserve"> (</w:t>
            </w:r>
            <w:r w:rsidRPr="00271115">
              <w:rPr>
                <w:rFonts w:eastAsia="Arial"/>
                <w:sz w:val="18"/>
                <w:szCs w:val="18"/>
                <w:lang w:eastAsia="en-US"/>
              </w:rPr>
              <w:t xml:space="preserve">art. 65 </w:t>
            </w:r>
            <w:r w:rsidRPr="00271115">
              <w:rPr>
                <w:sz w:val="18"/>
                <w:szCs w:val="18"/>
                <w:lang w:eastAsia="en-US"/>
              </w:rPr>
              <w:t>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1" w:hanging="284"/>
              <w:rPr>
                <w:rFonts w:eastAsia="Calibri"/>
                <w:sz w:val="18"/>
                <w:szCs w:val="18"/>
                <w:lang w:eastAsia="en-US"/>
              </w:rPr>
            </w:pPr>
            <w:r w:rsidRPr="00271115">
              <w:rPr>
                <w:rFonts w:eastAsia="Calibri"/>
                <w:sz w:val="18"/>
                <w:szCs w:val="18"/>
                <w:lang w:eastAsia="en-US"/>
              </w:rPr>
              <w:t xml:space="preserve">Na hipótese de eventuais prorrogações de prazo de início de etapas de execução, de conclusão e de entrega, desde que mantidas as demais cláusulas e assegurado o equilíbrio financeiro, esta ocorreu em razão de algum dos motivos listados a seguir? </w:t>
            </w: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8"/>
              </w:numPr>
              <w:suppressAutoHyphens/>
              <w:spacing w:after="160" w:line="276" w:lineRule="auto"/>
              <w:ind w:left="371" w:right="142" w:hanging="284"/>
              <w:rPr>
                <w:color w:val="000000"/>
                <w:sz w:val="18"/>
                <w:szCs w:val="18"/>
              </w:rPr>
            </w:pPr>
            <w:r w:rsidRPr="00271115">
              <w:rPr>
                <w:color w:val="000000"/>
                <w:sz w:val="18"/>
                <w:szCs w:val="18"/>
              </w:rPr>
              <w:lastRenderedPageBreak/>
              <w:t>Alteração do objeto ou especificações pelo órgão ou entidade contratante? (art. 57, § 1º, inc. I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8"/>
              </w:numPr>
              <w:suppressAutoHyphens/>
              <w:spacing w:after="160" w:line="276" w:lineRule="auto"/>
              <w:ind w:left="371" w:right="142" w:hanging="284"/>
              <w:rPr>
                <w:color w:val="000000"/>
                <w:sz w:val="18"/>
                <w:szCs w:val="18"/>
              </w:rPr>
            </w:pPr>
            <w:r w:rsidRPr="00271115">
              <w:rPr>
                <w:color w:val="000000"/>
                <w:sz w:val="18"/>
                <w:szCs w:val="18"/>
              </w:rPr>
              <w:t>Superveniência de fato excepcional ou imprevisível, estranho à vontade das partes, podendo pelo caráter excepcional e sendo devidamente justificado e com autorização da autoridade superior, ser prorrogado por até doze (12) meses? (art. 57, § 1º, inc. I e § 4º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8"/>
              </w:numPr>
              <w:suppressAutoHyphens/>
              <w:spacing w:after="160" w:line="276" w:lineRule="auto"/>
              <w:ind w:left="371" w:right="142" w:hanging="284"/>
              <w:rPr>
                <w:color w:val="000000"/>
                <w:sz w:val="18"/>
                <w:szCs w:val="18"/>
              </w:rPr>
            </w:pPr>
            <w:r w:rsidRPr="00271115">
              <w:rPr>
                <w:color w:val="000000"/>
                <w:sz w:val="18"/>
                <w:szCs w:val="18"/>
              </w:rPr>
              <w:t>Interrupção ou diminuição da execução dos trabalhos por interesse da Administração? (art. 57, § 1º, inc. III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8"/>
              </w:numPr>
              <w:suppressAutoHyphens/>
              <w:spacing w:after="160" w:line="276" w:lineRule="auto"/>
              <w:ind w:left="371" w:right="142" w:hanging="284"/>
              <w:rPr>
                <w:color w:val="000000"/>
                <w:sz w:val="18"/>
                <w:szCs w:val="18"/>
              </w:rPr>
            </w:pPr>
            <w:r w:rsidRPr="00271115">
              <w:rPr>
                <w:color w:val="000000"/>
                <w:sz w:val="18"/>
                <w:szCs w:val="18"/>
              </w:rPr>
              <w:t>Aumento das quantidades inicialmente previstas no contrato, nos limites da lei (termo aditivo, apostilamento)? (art. 57, § 1º, inc. IV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8"/>
              </w:numPr>
              <w:suppressAutoHyphens/>
              <w:spacing w:after="160" w:line="276" w:lineRule="auto"/>
              <w:ind w:left="371" w:right="142" w:hanging="284"/>
              <w:rPr>
                <w:color w:val="000000"/>
                <w:sz w:val="18"/>
                <w:szCs w:val="18"/>
              </w:rPr>
            </w:pPr>
            <w:r w:rsidRPr="00271115">
              <w:rPr>
                <w:color w:val="000000"/>
                <w:sz w:val="18"/>
                <w:szCs w:val="18"/>
              </w:rPr>
              <w:t>Impedimento</w:t>
            </w:r>
            <w:r w:rsidRPr="00271115">
              <w:rPr>
                <w:b/>
                <w:color w:val="000000"/>
                <w:sz w:val="18"/>
                <w:szCs w:val="18"/>
                <w:vertAlign w:val="superscript"/>
              </w:rPr>
              <w:footnoteReference w:id="4"/>
            </w:r>
            <w:r w:rsidRPr="00271115">
              <w:rPr>
                <w:color w:val="000000"/>
                <w:sz w:val="18"/>
                <w:szCs w:val="18"/>
              </w:rPr>
              <w:t xml:space="preserve"> de execução do contrato por fato ou ato de terceiro reconhecido pela Administração em documento contemporâneo à sua ocorrência? (art. 57, § 1º, inc. V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8"/>
              </w:numPr>
              <w:suppressAutoHyphens/>
              <w:spacing w:after="160" w:line="276" w:lineRule="auto"/>
              <w:ind w:left="371" w:right="142" w:hanging="284"/>
              <w:rPr>
                <w:color w:val="000000"/>
                <w:sz w:val="18"/>
                <w:szCs w:val="18"/>
              </w:rPr>
            </w:pPr>
            <w:r w:rsidRPr="00271115">
              <w:rPr>
                <w:color w:val="000000"/>
                <w:sz w:val="18"/>
                <w:szCs w:val="18"/>
              </w:rPr>
              <w:t>Omissão ou atraso de providências a cargo da Administração, inclusive quanto aos pagamentos previstos de que resulte, diretamente, impedimento ou retardamento na execução do contrato? (art. 57, § 1º, inc. VI da 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color w:val="000000"/>
                <w:sz w:val="18"/>
                <w:szCs w:val="18"/>
              </w:rPr>
            </w:pPr>
            <w:r w:rsidRPr="00271115">
              <w:rPr>
                <w:color w:val="000000"/>
                <w:sz w:val="18"/>
                <w:szCs w:val="18"/>
              </w:rPr>
              <w:t>Consta manifestação das partes no caso de haver interesse de prorrogação do contrato dentro do prazo vigente do contrato?</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Consta a Ordem de Serviço com a data de início da obra, e conforme o caso, das ordens de paralisação e de reinício da obra?</w:t>
            </w:r>
            <w:r w:rsidRPr="00271115">
              <w:rPr>
                <w:rFonts w:eastAsia="Arial"/>
                <w:b/>
                <w:sz w:val="18"/>
                <w:szCs w:val="18"/>
                <w:lang w:eastAsia="en-US"/>
              </w:rPr>
              <w:t xml:space="preserve"> (</w:t>
            </w:r>
            <w:r w:rsidRPr="00271115">
              <w:rPr>
                <w:rFonts w:eastAsia="Arial"/>
                <w:sz w:val="18"/>
                <w:szCs w:val="18"/>
                <w:lang w:eastAsia="en-US"/>
              </w:rPr>
              <w:t xml:space="preserve">art. 65 </w:t>
            </w:r>
            <w:r w:rsidRPr="00271115">
              <w:rPr>
                <w:sz w:val="18"/>
                <w:szCs w:val="18"/>
                <w:lang w:eastAsia="en-US"/>
              </w:rPr>
              <w:t>Lei nº 8.666/93</w:t>
            </w:r>
            <w:r w:rsidRPr="00271115">
              <w:rPr>
                <w:rFonts w:eastAsia="Arial"/>
                <w:sz w:val="18"/>
                <w:szCs w:val="18"/>
                <w:lang w:eastAsia="en-US"/>
              </w:rPr>
              <w:t>)</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Consta, no caso de prorrogação de prazo, a data prevista para o término da obra? (art. 65 </w:t>
            </w:r>
            <w:r w:rsidRPr="00271115">
              <w:rPr>
                <w:sz w:val="18"/>
                <w:szCs w:val="18"/>
                <w:lang w:eastAsia="en-US"/>
              </w:rPr>
              <w:t>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Consta a garantia da execução do contrato ou existe substituição da mesma, quando for o caso? (art. 65 </w:t>
            </w:r>
            <w:r w:rsidRPr="00271115">
              <w:rPr>
                <w:sz w:val="18"/>
                <w:szCs w:val="18"/>
                <w:lang w:eastAsia="en-US"/>
              </w:rPr>
              <w:t>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O termo aditivo foi celebrado dentro do prazo de execução contratual? (art. 27 da IN/TCE/TO nº 02/2008)</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Consta o </w:t>
            </w:r>
            <w:r w:rsidRPr="00271115">
              <w:rPr>
                <w:rFonts w:eastAsia="Arial"/>
                <w:b/>
                <w:sz w:val="18"/>
                <w:szCs w:val="18"/>
                <w:lang w:eastAsia="en-US"/>
              </w:rPr>
              <w:t>Detalhamento da Dotação – DD</w:t>
            </w:r>
            <w:r w:rsidRPr="00271115">
              <w:rPr>
                <w:rFonts w:eastAsia="Arial"/>
                <w:sz w:val="18"/>
                <w:szCs w:val="18"/>
                <w:lang w:eastAsia="en-US"/>
              </w:rPr>
              <w:t xml:space="preserve"> e/ou declaração orçamentária, quando se tratar de recursos relativos ao exercício seguinte? (a</w:t>
            </w:r>
            <w:r w:rsidRPr="00271115">
              <w:rPr>
                <w:sz w:val="18"/>
                <w:szCs w:val="18"/>
                <w:lang w:eastAsia="en-US"/>
              </w:rPr>
              <w:t xml:space="preserve">rt. 58 da Lei Federal nº 4.320/64; </w:t>
            </w:r>
            <w:r w:rsidRPr="00271115">
              <w:rPr>
                <w:rFonts w:eastAsia="Calibri"/>
                <w:sz w:val="18"/>
                <w:szCs w:val="18"/>
                <w:lang w:eastAsia="en-US"/>
              </w:rPr>
              <w:t>art. 24, inc. I do Decreto Orçamentário nº 6.407/2022</w:t>
            </w:r>
            <w:r w:rsidRPr="00271115">
              <w:rPr>
                <w:sz w:val="18"/>
                <w:szCs w:val="18"/>
                <w:lang w:eastAsia="en-US"/>
              </w:rPr>
              <w:t>)</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Consta Parecer da Assessoria Jurídica do órgão e/ou da Procuradoria Geral do Estado? (art. 38, parágrafo único, da </w:t>
            </w:r>
            <w:r w:rsidRPr="00271115">
              <w:rPr>
                <w:sz w:val="18"/>
                <w:szCs w:val="18"/>
                <w:lang w:eastAsia="en-US"/>
              </w:rPr>
              <w:t>Lei nº 8.666/93</w:t>
            </w:r>
            <w:r w:rsidRPr="00271115">
              <w:rPr>
                <w:rFonts w:eastAsia="Arial"/>
                <w:sz w:val="18"/>
                <w:szCs w:val="18"/>
                <w:lang w:eastAsia="en-US"/>
              </w:rPr>
              <w:t>)</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Consta o Termo Aditivo formalizado e assinado pelas partes? (art. 38, </w:t>
            </w:r>
            <w:r w:rsidRPr="00271115">
              <w:rPr>
                <w:rFonts w:ascii="Calibri" w:eastAsia="Calibri" w:hAnsi="Calibri"/>
                <w:sz w:val="18"/>
                <w:szCs w:val="18"/>
                <w:lang w:eastAsia="en-US"/>
              </w:rPr>
              <w:t>inc.</w:t>
            </w:r>
            <w:r w:rsidRPr="00271115">
              <w:rPr>
                <w:rFonts w:eastAsia="Arial"/>
                <w:sz w:val="18"/>
                <w:szCs w:val="18"/>
                <w:lang w:eastAsia="en-US"/>
              </w:rPr>
              <w:t xml:space="preserve"> X c/c art. 60 da </w:t>
            </w:r>
            <w:r w:rsidRPr="00271115">
              <w:rPr>
                <w:sz w:val="18"/>
                <w:szCs w:val="18"/>
                <w:lang w:eastAsia="en-US"/>
              </w:rPr>
              <w:t>Lei nº 8.666/93)</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Consta a publicação do extrato do Termo Aditivo na imprensa oficial? (art. 61, parágrafo único, da </w:t>
            </w:r>
            <w:r w:rsidRPr="00271115">
              <w:rPr>
                <w:sz w:val="18"/>
                <w:szCs w:val="18"/>
                <w:lang w:eastAsia="en-US"/>
              </w:rPr>
              <w:t>Lei nº 8.666/93 c/c</w:t>
            </w:r>
            <w:r w:rsidRPr="00271115">
              <w:rPr>
                <w:rFonts w:eastAsia="Arial"/>
                <w:sz w:val="18"/>
                <w:szCs w:val="18"/>
                <w:lang w:eastAsia="en-US"/>
              </w:rPr>
              <w:t xml:space="preserve"> a</w:t>
            </w:r>
            <w:r w:rsidRPr="00271115">
              <w:rPr>
                <w:sz w:val="18"/>
                <w:szCs w:val="18"/>
                <w:lang w:eastAsia="en-US"/>
              </w:rPr>
              <w:t xml:space="preserve">rt. 20, § 2º da IN/TCE/TO nº </w:t>
            </w:r>
            <w:r w:rsidRPr="00271115">
              <w:rPr>
                <w:rFonts w:eastAsia="Arial"/>
                <w:sz w:val="18"/>
                <w:szCs w:val="18"/>
                <w:lang w:eastAsia="en-US"/>
              </w:rPr>
              <w:t>02/2008 e</w:t>
            </w:r>
            <w:r w:rsidRPr="00271115">
              <w:rPr>
                <w:rFonts w:eastAsia="Calibri"/>
                <w:sz w:val="18"/>
                <w:szCs w:val="18"/>
                <w:lang w:eastAsia="en-US"/>
              </w:rPr>
              <w:t xml:space="preserve"> IN CGE nº 01/2019)</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451CD6" w:rsidRDefault="0036746C" w:rsidP="005B3C88">
            <w:pPr>
              <w:widowControl w:val="0"/>
              <w:numPr>
                <w:ilvl w:val="0"/>
                <w:numId w:val="6"/>
              </w:numPr>
              <w:suppressAutoHyphens/>
              <w:spacing w:after="160" w:line="276" w:lineRule="auto"/>
              <w:ind w:left="371" w:right="142" w:hanging="284"/>
              <w:rPr>
                <w:rFonts w:eastAsia="Calibri"/>
                <w:sz w:val="18"/>
                <w:szCs w:val="18"/>
                <w:lang w:eastAsia="en-US"/>
              </w:rPr>
            </w:pPr>
            <w:r>
              <w:rPr>
                <w:sz w:val="18"/>
                <w:szCs w:val="18"/>
              </w:rPr>
              <w:lastRenderedPageBreak/>
              <w:t>Consta no prazo de até 5 dias após formalização do contrato, o comprovante do lançament</w:t>
            </w:r>
            <w:r w:rsidR="005B3C88">
              <w:rPr>
                <w:sz w:val="18"/>
                <w:szCs w:val="18"/>
              </w:rPr>
              <w:t xml:space="preserve">o no </w:t>
            </w:r>
            <w:proofErr w:type="spellStart"/>
            <w:r w:rsidR="005B3C88">
              <w:rPr>
                <w:sz w:val="18"/>
                <w:szCs w:val="18"/>
              </w:rPr>
              <w:t>SICAP-LCO</w:t>
            </w:r>
            <w:proofErr w:type="spellEnd"/>
            <w:r w:rsidR="005B3C88">
              <w:rPr>
                <w:sz w:val="18"/>
                <w:szCs w:val="18"/>
              </w:rPr>
              <w:t xml:space="preserve">? (IN </w:t>
            </w:r>
            <w:proofErr w:type="spellStart"/>
            <w:r w:rsidR="005B3C88">
              <w:rPr>
                <w:sz w:val="18"/>
                <w:szCs w:val="18"/>
              </w:rPr>
              <w:t>TCE</w:t>
            </w:r>
            <w:proofErr w:type="spellEnd"/>
            <w:r w:rsidR="005B3C88">
              <w:rPr>
                <w:sz w:val="18"/>
                <w:szCs w:val="18"/>
              </w:rPr>
              <w:t>- TO nº.</w:t>
            </w:r>
            <w:r w:rsidR="005B3C88">
              <w:rPr>
                <w:sz w:val="18"/>
                <w:szCs w:val="18"/>
                <w:shd w:val="clear" w:color="auto" w:fill="FFFFFF"/>
              </w:rPr>
              <w:t xml:space="preserve"> 03/2017 e</w:t>
            </w:r>
            <w:r>
              <w:rPr>
                <w:sz w:val="18"/>
                <w:szCs w:val="18"/>
                <w:shd w:val="clear" w:color="auto" w:fill="FFFFFF"/>
              </w:rPr>
              <w:t xml:space="preserve"> art. 47, inciso II </w:t>
            </w:r>
            <w:r>
              <w:rPr>
                <w:rFonts w:eastAsia="Arial"/>
                <w:sz w:val="18"/>
                <w:szCs w:val="18"/>
              </w:rPr>
              <w:t>do Decreto Orçamentário nº 6.407/2022</w:t>
            </w:r>
            <w:proofErr w:type="gramStart"/>
            <w:r>
              <w:rPr>
                <w:sz w:val="18"/>
                <w:szCs w:val="18"/>
              </w:rPr>
              <w:t>)</w:t>
            </w:r>
            <w:proofErr w:type="gramEnd"/>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r w:rsidR="00271115" w:rsidRPr="00271115" w:rsidTr="004E0372">
        <w:tc>
          <w:tcPr>
            <w:tcW w:w="2872"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numPr>
                <w:ilvl w:val="0"/>
                <w:numId w:val="6"/>
              </w:numPr>
              <w:suppressAutoHyphens/>
              <w:spacing w:after="160" w:line="276" w:lineRule="auto"/>
              <w:ind w:left="371" w:right="142" w:hanging="284"/>
              <w:rPr>
                <w:rFonts w:eastAsia="Calibri"/>
                <w:sz w:val="18"/>
                <w:szCs w:val="18"/>
                <w:lang w:eastAsia="en-US"/>
              </w:rPr>
            </w:pPr>
            <w:r w:rsidRPr="00271115">
              <w:rPr>
                <w:rFonts w:eastAsia="Arial"/>
                <w:sz w:val="18"/>
                <w:szCs w:val="18"/>
                <w:lang w:eastAsia="en-US"/>
              </w:rPr>
              <w:t xml:space="preserve">Foram inseridas as informações do contrato no Sistema </w:t>
            </w:r>
            <w:r w:rsidR="00451CD6">
              <w:rPr>
                <w:rFonts w:eastAsia="Arial"/>
                <w:sz w:val="18"/>
                <w:szCs w:val="18"/>
                <w:lang w:eastAsia="en-US"/>
              </w:rPr>
              <w:t>Integrado de Gestão Administrativa do Estado do Tocantins – SIGA-TO</w:t>
            </w:r>
            <w:r w:rsidR="00AF1B9E">
              <w:rPr>
                <w:rFonts w:eastAsia="Arial"/>
                <w:sz w:val="18"/>
                <w:szCs w:val="18"/>
                <w:lang w:eastAsia="en-US"/>
              </w:rPr>
              <w:t xml:space="preserve">, no módulo “Gestão de Contratos”, </w:t>
            </w:r>
            <w:r w:rsidRPr="00271115">
              <w:rPr>
                <w:rFonts w:eastAsia="Arial"/>
                <w:sz w:val="18"/>
                <w:szCs w:val="18"/>
                <w:lang w:eastAsia="en-US"/>
              </w:rPr>
              <w:t>ou em outro que vier a substituí-lo</w:t>
            </w:r>
            <w:r w:rsidR="00AF1B9E">
              <w:rPr>
                <w:rFonts w:eastAsia="Arial"/>
                <w:sz w:val="18"/>
                <w:szCs w:val="18"/>
                <w:lang w:eastAsia="en-US"/>
              </w:rPr>
              <w:t>?</w:t>
            </w:r>
            <w:r w:rsidRPr="00271115">
              <w:rPr>
                <w:rFonts w:eastAsia="Arial"/>
                <w:sz w:val="18"/>
                <w:szCs w:val="18"/>
                <w:lang w:eastAsia="en-US"/>
              </w:rPr>
              <w:t xml:space="preserve"> (</w:t>
            </w:r>
            <w:r w:rsidR="00AF1B9E">
              <w:rPr>
                <w:rFonts w:eastAsia="Arial"/>
                <w:sz w:val="18"/>
                <w:szCs w:val="18"/>
                <w:lang w:eastAsia="en-US"/>
              </w:rPr>
              <w:t>Decreto Estadual nº 6.084/2</w:t>
            </w:r>
            <w:bookmarkStart w:id="0" w:name="_GoBack"/>
            <w:bookmarkEnd w:id="0"/>
            <w:r w:rsidR="00AF1B9E">
              <w:rPr>
                <w:rFonts w:eastAsia="Arial"/>
                <w:sz w:val="18"/>
                <w:szCs w:val="18"/>
                <w:lang w:eastAsia="en-US"/>
              </w:rPr>
              <w:t>020</w:t>
            </w:r>
            <w:r w:rsidRPr="00271115">
              <w:rPr>
                <w:rFonts w:eastAsia="Arial"/>
                <w:sz w:val="18"/>
                <w:szCs w:val="18"/>
                <w:lang w:eastAsia="en-US"/>
              </w:rPr>
              <w:t>)</w:t>
            </w:r>
          </w:p>
        </w:tc>
        <w:tc>
          <w:tcPr>
            <w:tcW w:w="1101"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587" w:type="pct"/>
            <w:tcBorders>
              <w:top w:val="single" w:sz="4" w:space="0" w:color="000000"/>
              <w:left w:val="single" w:sz="4" w:space="0" w:color="000000"/>
              <w:bottom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271115">
            <w:pPr>
              <w:widowControl w:val="0"/>
              <w:snapToGrid w:val="0"/>
              <w:spacing w:after="160" w:line="360" w:lineRule="auto"/>
              <w:jc w:val="left"/>
              <w:rPr>
                <w:sz w:val="18"/>
                <w:szCs w:val="18"/>
                <w:lang w:eastAsia="en-US"/>
              </w:rPr>
            </w:pPr>
          </w:p>
        </w:tc>
      </w:tr>
    </w:tbl>
    <w:p w:rsidR="00271115" w:rsidRPr="00271115" w:rsidRDefault="00271115" w:rsidP="00271115">
      <w:pPr>
        <w:spacing w:after="160" w:line="259" w:lineRule="auto"/>
        <w:jc w:val="left"/>
        <w:rPr>
          <w:rFonts w:eastAsia="Calibri"/>
          <w:b/>
          <w:sz w:val="18"/>
          <w:szCs w:val="18"/>
          <w:lang w:eastAsia="en-US"/>
        </w:rPr>
      </w:pPr>
    </w:p>
    <w:p w:rsidR="00271115" w:rsidRPr="00271115" w:rsidRDefault="00271115" w:rsidP="00271115">
      <w:pPr>
        <w:spacing w:after="160" w:line="259" w:lineRule="auto"/>
        <w:jc w:val="left"/>
        <w:rPr>
          <w:rFonts w:eastAsia="Calibri"/>
          <w:sz w:val="18"/>
          <w:szCs w:val="18"/>
          <w:lang w:eastAsia="en-US"/>
        </w:rPr>
      </w:pPr>
      <w:r w:rsidRPr="00271115">
        <w:rPr>
          <w:rFonts w:eastAsia="Calibri"/>
          <w:sz w:val="18"/>
          <w:szCs w:val="18"/>
          <w:lang w:eastAsia="en-US"/>
        </w:rPr>
        <w:t>Apontamentos:</w:t>
      </w:r>
    </w:p>
    <w:tbl>
      <w:tblPr>
        <w:tblW w:w="9639" w:type="dxa"/>
        <w:tblInd w:w="108" w:type="dxa"/>
        <w:tblLayout w:type="fixed"/>
        <w:tblLook w:val="0000" w:firstRow="0" w:lastRow="0" w:firstColumn="0" w:lastColumn="0" w:noHBand="0" w:noVBand="0"/>
      </w:tblPr>
      <w:tblGrid>
        <w:gridCol w:w="9639"/>
      </w:tblGrid>
      <w:tr w:rsidR="00271115" w:rsidRPr="00271115" w:rsidTr="005723E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36746C">
            <w:pPr>
              <w:widowControl w:val="0"/>
              <w:snapToGrid w:val="0"/>
              <w:spacing w:after="120" w:line="360" w:lineRule="auto"/>
              <w:jc w:val="left"/>
              <w:rPr>
                <w:rFonts w:eastAsia="Calibri"/>
                <w:b/>
                <w:sz w:val="18"/>
                <w:szCs w:val="18"/>
                <w:lang w:eastAsia="en-US"/>
              </w:rPr>
            </w:pPr>
          </w:p>
        </w:tc>
      </w:tr>
      <w:tr w:rsidR="00271115" w:rsidRPr="00271115" w:rsidTr="005723E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36746C">
            <w:pPr>
              <w:widowControl w:val="0"/>
              <w:snapToGrid w:val="0"/>
              <w:spacing w:after="120" w:line="360" w:lineRule="auto"/>
              <w:jc w:val="left"/>
              <w:rPr>
                <w:rFonts w:eastAsia="Calibri"/>
                <w:b/>
                <w:sz w:val="18"/>
                <w:szCs w:val="18"/>
                <w:lang w:eastAsia="en-US"/>
              </w:rPr>
            </w:pPr>
          </w:p>
        </w:tc>
      </w:tr>
      <w:tr w:rsidR="00271115" w:rsidRPr="00271115" w:rsidTr="005723E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36746C">
            <w:pPr>
              <w:widowControl w:val="0"/>
              <w:snapToGrid w:val="0"/>
              <w:spacing w:after="120" w:line="360" w:lineRule="auto"/>
              <w:jc w:val="left"/>
              <w:rPr>
                <w:rFonts w:eastAsia="Calibri"/>
                <w:b/>
                <w:sz w:val="18"/>
                <w:szCs w:val="18"/>
                <w:lang w:eastAsia="en-US"/>
              </w:rPr>
            </w:pPr>
          </w:p>
        </w:tc>
      </w:tr>
      <w:tr w:rsidR="005723EE" w:rsidRPr="00271115" w:rsidTr="005723E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23EE" w:rsidRPr="00271115" w:rsidRDefault="005723EE" w:rsidP="0036746C">
            <w:pPr>
              <w:widowControl w:val="0"/>
              <w:snapToGrid w:val="0"/>
              <w:spacing w:after="120" w:line="360" w:lineRule="auto"/>
              <w:jc w:val="left"/>
              <w:rPr>
                <w:rFonts w:eastAsia="Calibri"/>
                <w:b/>
                <w:sz w:val="18"/>
                <w:szCs w:val="18"/>
                <w:lang w:eastAsia="en-US"/>
              </w:rPr>
            </w:pPr>
          </w:p>
        </w:tc>
      </w:tr>
      <w:tr w:rsidR="00271115" w:rsidRPr="00271115" w:rsidTr="005723E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71115" w:rsidRPr="00271115" w:rsidRDefault="00271115" w:rsidP="0036746C">
            <w:pPr>
              <w:widowControl w:val="0"/>
              <w:snapToGrid w:val="0"/>
              <w:spacing w:after="120" w:line="360" w:lineRule="auto"/>
              <w:jc w:val="left"/>
              <w:rPr>
                <w:rFonts w:eastAsia="Calibri"/>
                <w:b/>
                <w:sz w:val="18"/>
                <w:szCs w:val="18"/>
                <w:lang w:eastAsia="en-US"/>
              </w:rPr>
            </w:pPr>
          </w:p>
        </w:tc>
      </w:tr>
      <w:tr w:rsidR="0036746C" w:rsidRPr="00271115" w:rsidTr="005723EE">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6746C" w:rsidRPr="00271115" w:rsidRDefault="0036746C" w:rsidP="0036746C">
            <w:pPr>
              <w:widowControl w:val="0"/>
              <w:snapToGrid w:val="0"/>
              <w:spacing w:after="120" w:line="360" w:lineRule="auto"/>
              <w:jc w:val="left"/>
              <w:rPr>
                <w:rFonts w:eastAsia="Calibri"/>
                <w:b/>
                <w:sz w:val="18"/>
                <w:szCs w:val="18"/>
                <w:lang w:eastAsia="en-US"/>
              </w:rPr>
            </w:pPr>
          </w:p>
        </w:tc>
      </w:tr>
    </w:tbl>
    <w:p w:rsidR="00271115" w:rsidRPr="00271115" w:rsidRDefault="00271115" w:rsidP="00271115">
      <w:pPr>
        <w:spacing w:after="160" w:line="259" w:lineRule="auto"/>
        <w:jc w:val="left"/>
        <w:rPr>
          <w:rFonts w:eastAsia="Arial"/>
          <w:b/>
          <w:sz w:val="18"/>
          <w:szCs w:val="18"/>
          <w:lang w:eastAsia="en-US"/>
        </w:rPr>
      </w:pPr>
    </w:p>
    <w:p w:rsidR="00271115" w:rsidRPr="00271115" w:rsidRDefault="00271115" w:rsidP="00271115">
      <w:pPr>
        <w:spacing w:after="160" w:line="259" w:lineRule="auto"/>
        <w:jc w:val="center"/>
        <w:rPr>
          <w:rFonts w:eastAsia="Arial"/>
          <w:b/>
          <w:sz w:val="18"/>
          <w:szCs w:val="18"/>
          <w:lang w:eastAsia="en-US"/>
        </w:rPr>
      </w:pPr>
      <w:r w:rsidRPr="00271115">
        <w:rPr>
          <w:rFonts w:eastAsia="Arial"/>
          <w:b/>
          <w:sz w:val="18"/>
          <w:szCs w:val="18"/>
          <w:lang w:eastAsia="en-US"/>
        </w:rPr>
        <w:t>Assinatura e Matrícula do Servidor</w:t>
      </w:r>
    </w:p>
    <w:p w:rsidR="006D097F" w:rsidRPr="0043453E" w:rsidRDefault="006D097F" w:rsidP="00BE71D1">
      <w:pPr>
        <w:pStyle w:val="Cabealho"/>
        <w:tabs>
          <w:tab w:val="left" w:pos="708"/>
        </w:tabs>
        <w:rPr>
          <w:sz w:val="24"/>
          <w:szCs w:val="24"/>
        </w:rPr>
      </w:pPr>
    </w:p>
    <w:sectPr w:rsidR="006D097F" w:rsidRPr="0043453E" w:rsidSect="00271115">
      <w:headerReference w:type="default" r:id="rId9"/>
      <w:type w:val="continuous"/>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72" w:rsidRDefault="00F14472">
      <w:r>
        <w:separator/>
      </w:r>
    </w:p>
  </w:endnote>
  <w:endnote w:type="continuationSeparator" w:id="0">
    <w:p w:rsidR="00F14472" w:rsidRDefault="00F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72" w:rsidRDefault="00F14472">
      <w:r>
        <w:separator/>
      </w:r>
    </w:p>
  </w:footnote>
  <w:footnote w:type="continuationSeparator" w:id="0">
    <w:p w:rsidR="00F14472" w:rsidRDefault="00F14472">
      <w:r>
        <w:continuationSeparator/>
      </w:r>
    </w:p>
  </w:footnote>
  <w:footnote w:id="1">
    <w:p w:rsidR="00271115" w:rsidRDefault="00271115" w:rsidP="00271115">
      <w:pPr>
        <w:pStyle w:val="footnotedescription"/>
        <w:widowControl w:val="0"/>
        <w:ind w:left="211" w:right="43" w:hanging="211"/>
        <w:rPr>
          <w:rFonts w:ascii="Times New Roman" w:hAnsi="Times New Roman" w:cs="Times New Roman"/>
          <w:szCs w:val="16"/>
        </w:rPr>
      </w:pPr>
      <w:r>
        <w:rPr>
          <w:rStyle w:val="FootnoteCharacters"/>
        </w:rPr>
        <w:footnoteRef/>
      </w:r>
      <w:r>
        <w:rPr>
          <w:rFonts w:ascii="Times New Roman" w:hAnsi="Times New Roman" w:cs="Times New Roman"/>
          <w:szCs w:val="16"/>
        </w:rPr>
        <w:tab/>
        <w:t xml:space="preserve"> Conforme disposto no § 1º do art. 65 da Lei Federal nº 8.666/1993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(cinquenta por cento) para os seus acréscimos. Nenhum acréscimo ou supressão poderá exceder os limites estabelecidos, salvo a supressão resultante de acordo celebrado entre as partes. </w:t>
      </w:r>
    </w:p>
    <w:p w:rsidR="00271115" w:rsidRDefault="00271115" w:rsidP="00271115">
      <w:pPr>
        <w:pStyle w:val="footnotedescription"/>
        <w:widowControl w:val="0"/>
        <w:spacing w:line="252" w:lineRule="auto"/>
        <w:ind w:left="211" w:firstLine="0"/>
      </w:pPr>
      <w:r>
        <w:rPr>
          <w:rFonts w:ascii="Times New Roman" w:hAnsi="Times New Roman" w:cs="Times New Roman"/>
          <w:szCs w:val="16"/>
        </w:rPr>
        <w:t>Em havendo alteração unilateral do contrato que aumente os encargos do contratado, a Administração deverá restabelecer, por aditamento, o equilíbrio econômico-financeiro inicial.</w:t>
      </w:r>
      <w:r>
        <w:t xml:space="preserve"> </w:t>
      </w:r>
    </w:p>
  </w:footnote>
  <w:footnote w:id="2">
    <w:p w:rsidR="00271115" w:rsidRDefault="00271115" w:rsidP="00271115">
      <w:pPr>
        <w:pStyle w:val="footnotedescription"/>
        <w:widowControl w:val="0"/>
        <w:spacing w:after="54" w:line="252" w:lineRule="auto"/>
        <w:ind w:left="142" w:hanging="142"/>
        <w:rPr>
          <w:rFonts w:ascii="Times New Roman" w:hAnsi="Times New Roman" w:cs="Times New Roman"/>
          <w:szCs w:val="16"/>
        </w:rPr>
      </w:pPr>
      <w:r>
        <w:rPr>
          <w:rStyle w:val="FootnoteCharacters"/>
        </w:rPr>
        <w:footnoteRef/>
      </w:r>
      <w:r>
        <w:rPr>
          <w:rFonts w:ascii="Times New Roman" w:hAnsi="Times New Roman" w:cs="Times New Roman"/>
          <w:szCs w:val="16"/>
        </w:rPr>
        <w:tab/>
        <w:t xml:space="preserve"> É vedada a antecipação do pagamento, com relação ao cronograma financeiro fixado, sem a correspondente contraprestação de fornecimento de bens ou execução de obra ou serviço. </w:t>
      </w:r>
    </w:p>
  </w:footnote>
  <w:footnote w:id="3">
    <w:p w:rsidR="00271115" w:rsidRDefault="00271115" w:rsidP="00271115">
      <w:pPr>
        <w:pStyle w:val="footnotedescription"/>
        <w:widowControl w:val="0"/>
        <w:spacing w:line="276" w:lineRule="auto"/>
        <w:ind w:left="142" w:hanging="142"/>
        <w:rPr>
          <w:szCs w:val="16"/>
        </w:rPr>
      </w:pPr>
      <w:r>
        <w:rPr>
          <w:rStyle w:val="FootnoteCharacters"/>
        </w:rPr>
        <w:footnoteRef/>
      </w:r>
      <w:r>
        <w:rPr>
          <w:rFonts w:ascii="Times New Roman" w:hAnsi="Times New Roman" w:cs="Times New Roman"/>
          <w:szCs w:val="16"/>
        </w:rPr>
        <w:tab/>
        <w:t xml:space="preserve"> Nenhum acréscimo ou supressão poderá exceder os limites estabelecidos no § 1º do art. 65 da Lei Federal nº 8666/1993, salvo as supressões resultantes de acordos celebrados entre os contratantes, conforme disposto no inc. II do § 2º do art. 65 da referida Lei.</w:t>
      </w:r>
    </w:p>
  </w:footnote>
  <w:footnote w:id="4">
    <w:p w:rsidR="00271115" w:rsidRDefault="00271115" w:rsidP="00271115">
      <w:pPr>
        <w:pStyle w:val="Textodenotaderodap"/>
        <w:widowControl w:val="0"/>
      </w:pPr>
      <w:r>
        <w:rPr>
          <w:rStyle w:val="FootnoteCharacters"/>
          <w:rFonts w:eastAsiaTheme="majorEastAsia"/>
        </w:rPr>
        <w:footnoteRef/>
      </w:r>
      <w:r>
        <w:rPr>
          <w:sz w:val="16"/>
          <w:szCs w:val="16"/>
        </w:rPr>
        <w:tab/>
        <w:t xml:space="preserve"> Ocorrendo impedimento, paralisação ou sustação do contrato, o cronograma de execução será prorrogado automaticamente por igual tempo, conforme art. 79, § 5º da Lei Federal nº 8.666/1993.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76" w:type="dxa"/>
      <w:tblLayout w:type="fixed"/>
      <w:tblLook w:val="04A0" w:firstRow="1" w:lastRow="0" w:firstColumn="1" w:lastColumn="0" w:noHBand="0" w:noVBand="1"/>
    </w:tblPr>
    <w:tblGrid>
      <w:gridCol w:w="5387"/>
      <w:gridCol w:w="3969"/>
    </w:tblGrid>
    <w:tr w:rsidR="00A72070" w:rsidRPr="003759D9" w:rsidTr="00FE51E8">
      <w:tc>
        <w:tcPr>
          <w:tcW w:w="5387" w:type="dxa"/>
        </w:tcPr>
        <w:p w:rsidR="00A72070" w:rsidRPr="003759D9" w:rsidRDefault="00A72070" w:rsidP="00A72070">
          <w:pPr>
            <w:pStyle w:val="Cabealho"/>
            <w:jc w:val="both"/>
          </w:pPr>
          <w:r>
            <w:rPr>
              <w:noProof/>
              <w:lang w:eastAsia="pt-BR"/>
            </w:rPr>
            <w:drawing>
              <wp:anchor distT="0" distB="0" distL="114300" distR="114300" simplePos="0" relativeHeight="251659264" behindDoc="0" locked="0" layoutInCell="1" allowOverlap="1" wp14:anchorId="3976B39D" wp14:editId="19D56E2C">
                <wp:simplePos x="0" y="0"/>
                <wp:positionH relativeFrom="margin">
                  <wp:posOffset>-235585</wp:posOffset>
                </wp:positionH>
                <wp:positionV relativeFrom="margin">
                  <wp:posOffset>5080</wp:posOffset>
                </wp:positionV>
                <wp:extent cx="3368675" cy="5340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67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A72070" w:rsidRDefault="00A72070" w:rsidP="00A72070">
          <w:pPr>
            <w:pStyle w:val="Cabealho"/>
            <w:ind w:left="373" w:hanging="339"/>
            <w:rPr>
              <w:rFonts w:eastAsia="Times New Roman" w:cs="Calibri"/>
              <w:bCs/>
              <w:sz w:val="18"/>
              <w:szCs w:val="18"/>
              <w:lang w:eastAsia="pt-BR"/>
            </w:rPr>
          </w:pPr>
          <w:r w:rsidRPr="002C61D0">
            <w:rPr>
              <w:rFonts w:eastAsia="Times New Roman" w:cs="Calibri"/>
              <w:bCs/>
              <w:sz w:val="18"/>
              <w:szCs w:val="18"/>
              <w:lang w:eastAsia="pt-BR"/>
            </w:rPr>
            <w:t>Praça dos Girassóis, Esplanada das Secretarias</w:t>
          </w:r>
        </w:p>
        <w:p w:rsidR="00A72070" w:rsidRPr="00175879" w:rsidRDefault="00A72070" w:rsidP="00A72070">
          <w:pPr>
            <w:pStyle w:val="Cabealho"/>
            <w:ind w:left="373" w:hanging="339"/>
            <w:rPr>
              <w:rFonts w:cs="Calibri"/>
              <w:sz w:val="18"/>
              <w:szCs w:val="18"/>
            </w:rPr>
          </w:pPr>
          <w:r w:rsidRPr="002C61D0">
            <w:rPr>
              <w:rFonts w:eastAsia="Times New Roman" w:cs="Calibri"/>
              <w:bCs/>
              <w:sz w:val="18"/>
              <w:szCs w:val="18"/>
              <w:lang w:eastAsia="pt-BR"/>
            </w:rPr>
            <w:t>Av. NS-2, Prédio I, S/N, Plano Diretor Norte</w:t>
          </w:r>
          <w:r w:rsidRPr="00175879">
            <w:rPr>
              <w:rFonts w:cs="Calibri"/>
              <w:sz w:val="18"/>
              <w:szCs w:val="18"/>
            </w:rPr>
            <w:t xml:space="preserve"> </w:t>
          </w:r>
        </w:p>
        <w:p w:rsidR="00A72070" w:rsidRPr="00175879" w:rsidRDefault="00A72070" w:rsidP="00A72070">
          <w:pPr>
            <w:pStyle w:val="Cabealho"/>
            <w:ind w:left="373" w:hanging="339"/>
            <w:rPr>
              <w:rFonts w:cs="Calibri"/>
              <w:sz w:val="18"/>
              <w:szCs w:val="18"/>
            </w:rPr>
          </w:pPr>
          <w:r w:rsidRPr="00175879">
            <w:rPr>
              <w:rFonts w:cs="Calibri"/>
              <w:sz w:val="18"/>
              <w:szCs w:val="18"/>
            </w:rPr>
            <w:t>Palmas – Tocantins – CEP: 77.001-</w:t>
          </w:r>
          <w:r>
            <w:rPr>
              <w:rFonts w:cs="Calibri"/>
              <w:sz w:val="18"/>
              <w:szCs w:val="18"/>
            </w:rPr>
            <w:t>002</w:t>
          </w:r>
        </w:p>
        <w:p w:rsidR="00A72070" w:rsidRDefault="00A72070" w:rsidP="00A72070">
          <w:pPr>
            <w:pStyle w:val="Cabealho"/>
            <w:ind w:left="373" w:hanging="339"/>
            <w:rPr>
              <w:rFonts w:cs="Calibri"/>
              <w:sz w:val="18"/>
              <w:szCs w:val="18"/>
            </w:rPr>
          </w:pPr>
          <w:r w:rsidRPr="00175879">
            <w:rPr>
              <w:rFonts w:cs="Calibri"/>
              <w:sz w:val="18"/>
              <w:szCs w:val="18"/>
            </w:rPr>
            <w:t xml:space="preserve">Tel: +55 63 </w:t>
          </w:r>
          <w:r w:rsidRPr="00FD57D4">
            <w:rPr>
              <w:rFonts w:cs="Calibri"/>
              <w:sz w:val="18"/>
              <w:szCs w:val="18"/>
            </w:rPr>
            <w:t>3218-2</w:t>
          </w:r>
          <w:r>
            <w:rPr>
              <w:rFonts w:cs="Calibri"/>
              <w:sz w:val="18"/>
              <w:szCs w:val="18"/>
            </w:rPr>
            <w:t>563</w:t>
          </w:r>
        </w:p>
        <w:p w:rsidR="00A72070" w:rsidRDefault="005B3C88" w:rsidP="00A72070">
          <w:pPr>
            <w:pStyle w:val="Cabealho"/>
            <w:ind w:left="373" w:hanging="339"/>
            <w:rPr>
              <w:sz w:val="18"/>
              <w:szCs w:val="18"/>
            </w:rPr>
          </w:pPr>
          <w:hyperlink r:id="rId2" w:history="1">
            <w:r w:rsidR="00A72070" w:rsidRPr="00834E6B">
              <w:rPr>
                <w:rStyle w:val="Hyperlink"/>
                <w:rFonts w:cs="Calibri"/>
                <w:sz w:val="18"/>
                <w:szCs w:val="18"/>
              </w:rPr>
              <w:t>gabexecutivo@controladoria.to.gov.br</w:t>
            </w:r>
          </w:hyperlink>
          <w:r w:rsidR="00A72070">
            <w:rPr>
              <w:rFonts w:cs="Calibri"/>
              <w:sz w:val="18"/>
              <w:szCs w:val="18"/>
            </w:rPr>
            <w:t xml:space="preserve"> </w:t>
          </w:r>
        </w:p>
        <w:p w:rsidR="00A72070" w:rsidRPr="00C9379A" w:rsidRDefault="00A72070" w:rsidP="00A72070">
          <w:pPr>
            <w:pStyle w:val="Cabealho"/>
            <w:ind w:left="373" w:hanging="339"/>
            <w:rPr>
              <w:sz w:val="18"/>
              <w:szCs w:val="18"/>
            </w:rPr>
          </w:pPr>
          <w:r w:rsidRPr="004214A0">
            <w:rPr>
              <w:rStyle w:val="Hyperlink"/>
              <w:rFonts w:cs="Calibri"/>
              <w:sz w:val="18"/>
              <w:szCs w:val="18"/>
            </w:rPr>
            <w:t>www.to.gov.br/cge</w:t>
          </w:r>
        </w:p>
      </w:tc>
    </w:tr>
  </w:tbl>
  <w:p w:rsidR="009C2D58" w:rsidRDefault="009C2D58">
    <w:pPr>
      <w:pStyle w:val="Cabealho"/>
      <w:rPr>
        <w:color w:val="365F91" w:themeColor="accent1" w:themeShade="BF"/>
      </w:rPr>
    </w:pPr>
  </w:p>
  <w:p w:rsidR="00A703E3" w:rsidRDefault="00A703E3">
    <w:pPr>
      <w:pStyle w:val="Cabealho"/>
      <w:rPr>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0FB"/>
    <w:multiLevelType w:val="multilevel"/>
    <w:tmpl w:val="41FCCE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02022CC"/>
    <w:multiLevelType w:val="multilevel"/>
    <w:tmpl w:val="234809CE"/>
    <w:lvl w:ilvl="0">
      <w:start w:val="5"/>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215734A4"/>
    <w:multiLevelType w:val="multilevel"/>
    <w:tmpl w:val="89C4B1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8562431"/>
    <w:multiLevelType w:val="multilevel"/>
    <w:tmpl w:val="48484718"/>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CB659C7"/>
    <w:multiLevelType w:val="multilevel"/>
    <w:tmpl w:val="D8A86008"/>
    <w:lvl w:ilvl="0">
      <w:start w:val="1"/>
      <w:numFmt w:val="lowerLetter"/>
      <w:lvlText w:val="%1)"/>
      <w:lvlJc w:val="left"/>
      <w:pPr>
        <w:tabs>
          <w:tab w:val="num" w:pos="0"/>
        </w:tabs>
        <w:ind w:left="891"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F2E09AC"/>
    <w:multiLevelType w:val="multilevel"/>
    <w:tmpl w:val="695A0E70"/>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C7E1075"/>
    <w:multiLevelType w:val="multilevel"/>
    <w:tmpl w:val="13F06360"/>
    <w:lvl w:ilvl="0">
      <w:start w:val="1"/>
      <w:numFmt w:val="lowerLetter"/>
      <w:lvlText w:val="%1)"/>
      <w:lvlJc w:val="left"/>
      <w:pPr>
        <w:tabs>
          <w:tab w:val="num" w:pos="0"/>
        </w:tabs>
        <w:ind w:left="721"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DF307D5"/>
    <w:multiLevelType w:val="multilevel"/>
    <w:tmpl w:val="5ADC2150"/>
    <w:lvl w:ilvl="0">
      <w:start w:val="9"/>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4582148"/>
    <w:multiLevelType w:val="hybridMultilevel"/>
    <w:tmpl w:val="0756CC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708"/>
  <w:hyphenationZone w:val="425"/>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99"/>
    <w:rsid w:val="00004BDE"/>
    <w:rsid w:val="00007DEC"/>
    <w:rsid w:val="00031FC3"/>
    <w:rsid w:val="000B6EEA"/>
    <w:rsid w:val="000C6E98"/>
    <w:rsid w:val="00110EF7"/>
    <w:rsid w:val="00123825"/>
    <w:rsid w:val="001354BA"/>
    <w:rsid w:val="001F436D"/>
    <w:rsid w:val="00200A48"/>
    <w:rsid w:val="00207B10"/>
    <w:rsid w:val="00217872"/>
    <w:rsid w:val="00271115"/>
    <w:rsid w:val="00284590"/>
    <w:rsid w:val="002A6A20"/>
    <w:rsid w:val="003216AC"/>
    <w:rsid w:val="00342A46"/>
    <w:rsid w:val="0036746C"/>
    <w:rsid w:val="003A781B"/>
    <w:rsid w:val="003F44D2"/>
    <w:rsid w:val="0043453E"/>
    <w:rsid w:val="00451CD6"/>
    <w:rsid w:val="004E0372"/>
    <w:rsid w:val="004E1336"/>
    <w:rsid w:val="004F57B1"/>
    <w:rsid w:val="00563353"/>
    <w:rsid w:val="005723EE"/>
    <w:rsid w:val="005B3C88"/>
    <w:rsid w:val="006214ED"/>
    <w:rsid w:val="00681299"/>
    <w:rsid w:val="006B0524"/>
    <w:rsid w:val="006B2624"/>
    <w:rsid w:val="006D097F"/>
    <w:rsid w:val="006F1C33"/>
    <w:rsid w:val="00701274"/>
    <w:rsid w:val="007B2846"/>
    <w:rsid w:val="007B7532"/>
    <w:rsid w:val="007E0881"/>
    <w:rsid w:val="00851128"/>
    <w:rsid w:val="008878B5"/>
    <w:rsid w:val="008F63C1"/>
    <w:rsid w:val="008F6718"/>
    <w:rsid w:val="00963728"/>
    <w:rsid w:val="009C00C5"/>
    <w:rsid w:val="009C16C8"/>
    <w:rsid w:val="009C2D58"/>
    <w:rsid w:val="00A160FE"/>
    <w:rsid w:val="00A35FF7"/>
    <w:rsid w:val="00A703E3"/>
    <w:rsid w:val="00A72070"/>
    <w:rsid w:val="00AE1D9C"/>
    <w:rsid w:val="00AF1B9E"/>
    <w:rsid w:val="00B0140A"/>
    <w:rsid w:val="00B173FC"/>
    <w:rsid w:val="00B8259C"/>
    <w:rsid w:val="00B82AA5"/>
    <w:rsid w:val="00BE71D1"/>
    <w:rsid w:val="00C21F93"/>
    <w:rsid w:val="00C97709"/>
    <w:rsid w:val="00CA48D4"/>
    <w:rsid w:val="00DC2725"/>
    <w:rsid w:val="00E5456B"/>
    <w:rsid w:val="00EE19D8"/>
    <w:rsid w:val="00F14472"/>
    <w:rsid w:val="00F17D17"/>
    <w:rsid w:val="00F21C94"/>
    <w:rsid w:val="00F335F9"/>
    <w:rsid w:val="00F87E88"/>
    <w:rsid w:val="00FA1984"/>
    <w:rsid w:val="00FA30F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eastAsia="Times New Roman" w:hAnsi="Times New Roman" w:cs="Times New Roman"/>
      <w:sz w:val="28"/>
      <w:szCs w:val="20"/>
      <w:lang w:eastAsia="pt-BR"/>
    </w:rPr>
  </w:style>
  <w:style w:type="paragraph" w:styleId="Ttulo1">
    <w:name w:val="heading 1"/>
    <w:next w:val="Normal"/>
    <w:link w:val="Ttulo1Char"/>
    <w:unhideWhenUsed/>
    <w:qFormat/>
    <w:rsid w:val="006D097F"/>
    <w:pPr>
      <w:keepNext/>
      <w:keepLines/>
      <w:spacing w:after="0" w:line="259" w:lineRule="auto"/>
      <w:ind w:left="10" w:right="4990" w:hanging="10"/>
      <w:jc w:val="center"/>
      <w:outlineLvl w:val="0"/>
    </w:pPr>
    <w:rPr>
      <w:rFonts w:ascii="Arial" w:eastAsia="Arial" w:hAnsi="Arial" w:cs="Arial"/>
      <w:b/>
      <w:color w:val="000000"/>
      <w:sz w:val="24"/>
      <w:lang w:eastAsia="pt-BR"/>
    </w:rPr>
  </w:style>
  <w:style w:type="paragraph" w:styleId="Ttulo2">
    <w:name w:val="heading 2"/>
    <w:basedOn w:val="Normal"/>
    <w:next w:val="Normal"/>
    <w:link w:val="Ttulo2Char"/>
    <w:semiHidden/>
    <w:unhideWhenUsed/>
    <w:qFormat/>
    <w:rsid w:val="001F436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qFormat/>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qFormat/>
  </w:style>
  <w:style w:type="paragraph" w:styleId="Rodap">
    <w:name w:val="footer"/>
    <w:basedOn w:val="Normal"/>
    <w:unhideWhenUsed/>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style>
  <w:style w:type="paragraph" w:styleId="Textodebalo">
    <w:name w:val="Balloon Text"/>
    <w:basedOn w:val="Normal"/>
    <w:semiHidden/>
    <w:unhideWhenUsed/>
    <w:pPr>
      <w:jc w:val="left"/>
    </w:pPr>
    <w:rPr>
      <w:rFonts w:ascii="Tahoma" w:eastAsiaTheme="minorHAnsi" w:hAnsi="Tahoma" w:cs="Tahoma"/>
      <w:sz w:val="16"/>
      <w:szCs w:val="16"/>
      <w:lang w:eastAsia="en-US"/>
    </w:rPr>
  </w:style>
  <w:style w:type="character" w:customStyle="1" w:styleId="TextodebaloChar">
    <w:name w:val="Texto de balão Char"/>
    <w:basedOn w:val="Fontepargpadro"/>
    <w:semiHidden/>
    <w:rPr>
      <w:rFonts w:ascii="Tahoma" w:hAnsi="Tahoma" w:cs="Tahoma"/>
      <w:sz w:val="16"/>
      <w:szCs w:val="16"/>
    </w:rPr>
  </w:style>
  <w:style w:type="character" w:styleId="Hyperlink">
    <w:name w:val="Hyperlink"/>
    <w:basedOn w:val="Fontepargpadro"/>
    <w:unhideWhenUsed/>
    <w:rPr>
      <w:color w:val="0000FF" w:themeColor="hyperlink"/>
      <w:u w:val="single"/>
    </w:rPr>
  </w:style>
  <w:style w:type="paragraph" w:styleId="SemEspaamento">
    <w:name w:val="No Spacing"/>
    <w:qFormat/>
    <w:pPr>
      <w:spacing w:after="0" w:line="240" w:lineRule="auto"/>
      <w:jc w:val="both"/>
    </w:pPr>
    <w:rPr>
      <w:rFonts w:ascii="Times New Roman" w:eastAsia="Times New Roman" w:hAnsi="Times New Roman" w:cs="Times New Roman"/>
      <w:sz w:val="28"/>
      <w:szCs w:val="20"/>
      <w:lang w:eastAsia="pt-BR"/>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1">
    <w:name w:val="Cabeçalho1"/>
    <w:basedOn w:val="Normal"/>
    <w:next w:val="Normal"/>
    <w:qFormat/>
    <w:rsid w:val="002A6A20"/>
    <w:pPr>
      <w:tabs>
        <w:tab w:val="center" w:pos="4252"/>
        <w:tab w:val="right" w:pos="8504"/>
      </w:tabs>
      <w:jc w:val="left"/>
    </w:pPr>
    <w:rPr>
      <w:rFonts w:ascii="Calibri" w:eastAsia="Calibri" w:hAnsi="Calibri"/>
      <w:sz w:val="22"/>
      <w:szCs w:val="22"/>
      <w:lang w:eastAsia="en-US"/>
    </w:rPr>
  </w:style>
  <w:style w:type="paragraph" w:styleId="Corpodetexto">
    <w:name w:val="Body Text"/>
    <w:basedOn w:val="Normal"/>
    <w:link w:val="CorpodetextoChar"/>
    <w:semiHidden/>
    <w:unhideWhenUsed/>
    <w:rsid w:val="001F436D"/>
    <w:pPr>
      <w:suppressAutoHyphens/>
      <w:spacing w:after="120" w:line="259" w:lineRule="auto"/>
      <w:jc w:val="left"/>
    </w:pPr>
    <w:rPr>
      <w:rFonts w:ascii="Calibri" w:eastAsia="Calibri" w:hAnsi="Calibri"/>
      <w:color w:val="000000"/>
      <w:sz w:val="22"/>
      <w:szCs w:val="22"/>
      <w:lang w:eastAsia="en-US"/>
    </w:rPr>
  </w:style>
  <w:style w:type="character" w:customStyle="1" w:styleId="CorpodetextoChar">
    <w:name w:val="Corpo de texto Char"/>
    <w:basedOn w:val="Fontepargpadro"/>
    <w:link w:val="Corpodetexto"/>
    <w:semiHidden/>
    <w:rsid w:val="001F436D"/>
    <w:rPr>
      <w:rFonts w:ascii="Calibri" w:eastAsia="Calibri" w:hAnsi="Calibri" w:cs="Times New Roman"/>
      <w:color w:val="000000"/>
    </w:rPr>
  </w:style>
  <w:style w:type="character" w:customStyle="1" w:styleId="Ttulo2Char">
    <w:name w:val="Título 2 Char"/>
    <w:basedOn w:val="Fontepargpadro"/>
    <w:link w:val="Ttulo2"/>
    <w:semiHidden/>
    <w:rsid w:val="001F436D"/>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rsid w:val="006D097F"/>
    <w:rPr>
      <w:rFonts w:ascii="Arial" w:eastAsia="Arial" w:hAnsi="Arial" w:cs="Arial"/>
      <w:b/>
      <w:color w:val="000000"/>
      <w:sz w:val="24"/>
      <w:lang w:eastAsia="pt-BR"/>
    </w:rPr>
  </w:style>
  <w:style w:type="table" w:customStyle="1" w:styleId="TableGrid">
    <w:name w:val="TableGrid"/>
    <w:rsid w:val="006D097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qFormat/>
    <w:rsid w:val="006D097F"/>
    <w:pPr>
      <w:spacing w:after="0" w:line="240" w:lineRule="auto"/>
    </w:pPr>
    <w:rPr>
      <w:rFonts w:ascii="Times New Roman" w:eastAsia="Calibri"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271115"/>
    <w:rPr>
      <w:sz w:val="20"/>
    </w:rPr>
  </w:style>
  <w:style w:type="character" w:customStyle="1" w:styleId="TextodenotaderodapChar">
    <w:name w:val="Texto de nota de rodapé Char"/>
    <w:basedOn w:val="Fontepargpadro"/>
    <w:link w:val="Textodenotaderodap"/>
    <w:uiPriority w:val="99"/>
    <w:semiHidden/>
    <w:rsid w:val="00271115"/>
    <w:rPr>
      <w:rFonts w:ascii="Times New Roman" w:eastAsia="Times New Roman" w:hAnsi="Times New Roman" w:cs="Times New Roman"/>
      <w:sz w:val="20"/>
      <w:szCs w:val="20"/>
      <w:lang w:eastAsia="pt-BR"/>
    </w:rPr>
  </w:style>
  <w:style w:type="character" w:customStyle="1" w:styleId="FootnoteCharacters">
    <w:name w:val="Footnote Characters"/>
    <w:uiPriority w:val="99"/>
    <w:qFormat/>
    <w:rsid w:val="00271115"/>
    <w:rPr>
      <w:vertAlign w:val="superscript"/>
    </w:rPr>
  </w:style>
  <w:style w:type="paragraph" w:customStyle="1" w:styleId="footnotedescription">
    <w:name w:val="footnote description"/>
    <w:next w:val="Normal"/>
    <w:qFormat/>
    <w:rsid w:val="00271115"/>
    <w:pPr>
      <w:suppressAutoHyphens/>
      <w:spacing w:after="0" w:line="264" w:lineRule="auto"/>
      <w:ind w:left="141" w:hanging="141"/>
      <w:jc w:val="both"/>
    </w:pPr>
    <w:rPr>
      <w:rFonts w:ascii="Arial" w:eastAsia="Arial" w:hAnsi="Arial" w:cs="Arial"/>
      <w:color w:val="000000"/>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eastAsia="Times New Roman" w:hAnsi="Times New Roman" w:cs="Times New Roman"/>
      <w:sz w:val="28"/>
      <w:szCs w:val="20"/>
      <w:lang w:eastAsia="pt-BR"/>
    </w:rPr>
  </w:style>
  <w:style w:type="paragraph" w:styleId="Ttulo1">
    <w:name w:val="heading 1"/>
    <w:next w:val="Normal"/>
    <w:link w:val="Ttulo1Char"/>
    <w:unhideWhenUsed/>
    <w:qFormat/>
    <w:rsid w:val="006D097F"/>
    <w:pPr>
      <w:keepNext/>
      <w:keepLines/>
      <w:spacing w:after="0" w:line="259" w:lineRule="auto"/>
      <w:ind w:left="10" w:right="4990" w:hanging="10"/>
      <w:jc w:val="center"/>
      <w:outlineLvl w:val="0"/>
    </w:pPr>
    <w:rPr>
      <w:rFonts w:ascii="Arial" w:eastAsia="Arial" w:hAnsi="Arial" w:cs="Arial"/>
      <w:b/>
      <w:color w:val="000000"/>
      <w:sz w:val="24"/>
      <w:lang w:eastAsia="pt-BR"/>
    </w:rPr>
  </w:style>
  <w:style w:type="paragraph" w:styleId="Ttulo2">
    <w:name w:val="heading 2"/>
    <w:basedOn w:val="Normal"/>
    <w:next w:val="Normal"/>
    <w:link w:val="Ttulo2Char"/>
    <w:semiHidden/>
    <w:unhideWhenUsed/>
    <w:qFormat/>
    <w:rsid w:val="001F436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qFormat/>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qFormat/>
  </w:style>
  <w:style w:type="paragraph" w:styleId="Rodap">
    <w:name w:val="footer"/>
    <w:basedOn w:val="Normal"/>
    <w:unhideWhenUsed/>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style>
  <w:style w:type="paragraph" w:styleId="Textodebalo">
    <w:name w:val="Balloon Text"/>
    <w:basedOn w:val="Normal"/>
    <w:semiHidden/>
    <w:unhideWhenUsed/>
    <w:pPr>
      <w:jc w:val="left"/>
    </w:pPr>
    <w:rPr>
      <w:rFonts w:ascii="Tahoma" w:eastAsiaTheme="minorHAnsi" w:hAnsi="Tahoma" w:cs="Tahoma"/>
      <w:sz w:val="16"/>
      <w:szCs w:val="16"/>
      <w:lang w:eastAsia="en-US"/>
    </w:rPr>
  </w:style>
  <w:style w:type="character" w:customStyle="1" w:styleId="TextodebaloChar">
    <w:name w:val="Texto de balão Char"/>
    <w:basedOn w:val="Fontepargpadro"/>
    <w:semiHidden/>
    <w:rPr>
      <w:rFonts w:ascii="Tahoma" w:hAnsi="Tahoma" w:cs="Tahoma"/>
      <w:sz w:val="16"/>
      <w:szCs w:val="16"/>
    </w:rPr>
  </w:style>
  <w:style w:type="character" w:styleId="Hyperlink">
    <w:name w:val="Hyperlink"/>
    <w:basedOn w:val="Fontepargpadro"/>
    <w:unhideWhenUsed/>
    <w:rPr>
      <w:color w:val="0000FF" w:themeColor="hyperlink"/>
      <w:u w:val="single"/>
    </w:rPr>
  </w:style>
  <w:style w:type="paragraph" w:styleId="SemEspaamento">
    <w:name w:val="No Spacing"/>
    <w:qFormat/>
    <w:pPr>
      <w:spacing w:after="0" w:line="240" w:lineRule="auto"/>
      <w:jc w:val="both"/>
    </w:pPr>
    <w:rPr>
      <w:rFonts w:ascii="Times New Roman" w:eastAsia="Times New Roman" w:hAnsi="Times New Roman" w:cs="Times New Roman"/>
      <w:sz w:val="28"/>
      <w:szCs w:val="20"/>
      <w:lang w:eastAsia="pt-BR"/>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1">
    <w:name w:val="Cabeçalho1"/>
    <w:basedOn w:val="Normal"/>
    <w:next w:val="Normal"/>
    <w:qFormat/>
    <w:rsid w:val="002A6A20"/>
    <w:pPr>
      <w:tabs>
        <w:tab w:val="center" w:pos="4252"/>
        <w:tab w:val="right" w:pos="8504"/>
      </w:tabs>
      <w:jc w:val="left"/>
    </w:pPr>
    <w:rPr>
      <w:rFonts w:ascii="Calibri" w:eastAsia="Calibri" w:hAnsi="Calibri"/>
      <w:sz w:val="22"/>
      <w:szCs w:val="22"/>
      <w:lang w:eastAsia="en-US"/>
    </w:rPr>
  </w:style>
  <w:style w:type="paragraph" w:styleId="Corpodetexto">
    <w:name w:val="Body Text"/>
    <w:basedOn w:val="Normal"/>
    <w:link w:val="CorpodetextoChar"/>
    <w:semiHidden/>
    <w:unhideWhenUsed/>
    <w:rsid w:val="001F436D"/>
    <w:pPr>
      <w:suppressAutoHyphens/>
      <w:spacing w:after="120" w:line="259" w:lineRule="auto"/>
      <w:jc w:val="left"/>
    </w:pPr>
    <w:rPr>
      <w:rFonts w:ascii="Calibri" w:eastAsia="Calibri" w:hAnsi="Calibri"/>
      <w:color w:val="000000"/>
      <w:sz w:val="22"/>
      <w:szCs w:val="22"/>
      <w:lang w:eastAsia="en-US"/>
    </w:rPr>
  </w:style>
  <w:style w:type="character" w:customStyle="1" w:styleId="CorpodetextoChar">
    <w:name w:val="Corpo de texto Char"/>
    <w:basedOn w:val="Fontepargpadro"/>
    <w:link w:val="Corpodetexto"/>
    <w:semiHidden/>
    <w:rsid w:val="001F436D"/>
    <w:rPr>
      <w:rFonts w:ascii="Calibri" w:eastAsia="Calibri" w:hAnsi="Calibri" w:cs="Times New Roman"/>
      <w:color w:val="000000"/>
    </w:rPr>
  </w:style>
  <w:style w:type="character" w:customStyle="1" w:styleId="Ttulo2Char">
    <w:name w:val="Título 2 Char"/>
    <w:basedOn w:val="Fontepargpadro"/>
    <w:link w:val="Ttulo2"/>
    <w:semiHidden/>
    <w:rsid w:val="001F436D"/>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rsid w:val="006D097F"/>
    <w:rPr>
      <w:rFonts w:ascii="Arial" w:eastAsia="Arial" w:hAnsi="Arial" w:cs="Arial"/>
      <w:b/>
      <w:color w:val="000000"/>
      <w:sz w:val="24"/>
      <w:lang w:eastAsia="pt-BR"/>
    </w:rPr>
  </w:style>
  <w:style w:type="table" w:customStyle="1" w:styleId="TableGrid">
    <w:name w:val="TableGrid"/>
    <w:rsid w:val="006D097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qFormat/>
    <w:rsid w:val="006D097F"/>
    <w:pPr>
      <w:spacing w:after="0" w:line="240" w:lineRule="auto"/>
    </w:pPr>
    <w:rPr>
      <w:rFonts w:ascii="Times New Roman" w:eastAsia="Calibri"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271115"/>
    <w:rPr>
      <w:sz w:val="20"/>
    </w:rPr>
  </w:style>
  <w:style w:type="character" w:customStyle="1" w:styleId="TextodenotaderodapChar">
    <w:name w:val="Texto de nota de rodapé Char"/>
    <w:basedOn w:val="Fontepargpadro"/>
    <w:link w:val="Textodenotaderodap"/>
    <w:uiPriority w:val="99"/>
    <w:semiHidden/>
    <w:rsid w:val="00271115"/>
    <w:rPr>
      <w:rFonts w:ascii="Times New Roman" w:eastAsia="Times New Roman" w:hAnsi="Times New Roman" w:cs="Times New Roman"/>
      <w:sz w:val="20"/>
      <w:szCs w:val="20"/>
      <w:lang w:eastAsia="pt-BR"/>
    </w:rPr>
  </w:style>
  <w:style w:type="character" w:customStyle="1" w:styleId="FootnoteCharacters">
    <w:name w:val="Footnote Characters"/>
    <w:uiPriority w:val="99"/>
    <w:qFormat/>
    <w:rsid w:val="00271115"/>
    <w:rPr>
      <w:vertAlign w:val="superscript"/>
    </w:rPr>
  </w:style>
  <w:style w:type="paragraph" w:customStyle="1" w:styleId="footnotedescription">
    <w:name w:val="footnote description"/>
    <w:next w:val="Normal"/>
    <w:qFormat/>
    <w:rsid w:val="00271115"/>
    <w:pPr>
      <w:suppressAutoHyphens/>
      <w:spacing w:after="0" w:line="264" w:lineRule="auto"/>
      <w:ind w:left="141" w:hanging="141"/>
      <w:jc w:val="both"/>
    </w:pPr>
    <w:rPr>
      <w:rFonts w:ascii="Arial" w:eastAsia="Arial" w:hAnsi="Arial" w:cs="Arial"/>
      <w:color w:val="000000"/>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ontroladoria.to.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7A61-2AB2-4367-B2A9-49360404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1185</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SILVA DE AZEVEDO</dc:creator>
  <cp:lastModifiedBy>AMANDA FELIX RIBEIRO</cp:lastModifiedBy>
  <cp:revision>13</cp:revision>
  <cp:lastPrinted>2020-09-21T13:15:00Z</cp:lastPrinted>
  <dcterms:created xsi:type="dcterms:W3CDTF">2022-02-10T15:25:00Z</dcterms:created>
  <dcterms:modified xsi:type="dcterms:W3CDTF">2022-04-19T14:07:00Z</dcterms:modified>
</cp:coreProperties>
</file>