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A837" w14:textId="513C86FB" w:rsidR="00755E2F" w:rsidRPr="00DD6813" w:rsidRDefault="00891CE7" w:rsidP="00DD6813">
      <w:pPr>
        <w:pStyle w:val="PargrafodaLista"/>
        <w:spacing w:after="240" w:line="360" w:lineRule="auto"/>
        <w:ind w:left="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highlight w:val="yellow"/>
        </w:rPr>
        <w:t>Caixa e Equivalentes de Caixa</w:t>
      </w:r>
    </w:p>
    <w:p w14:paraId="32D517F4" w14:textId="68433F3F" w:rsidR="00FA4DEB" w:rsidRDefault="00F73925" w:rsidP="00F73925">
      <w:pPr>
        <w:spacing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A4DEB">
        <w:rPr>
          <w:rFonts w:ascii="Arial" w:hAnsi="Arial" w:cs="Arial"/>
          <w:sz w:val="24"/>
          <w:szCs w:val="24"/>
        </w:rPr>
        <w:t>isando a adequação às Instruções de Procedimentos Contábeis de elaboração do</w:t>
      </w:r>
      <w:r w:rsidR="00FA4DEB" w:rsidRPr="00D11FA0">
        <w:rPr>
          <w:rFonts w:ascii="Arial" w:hAnsi="Arial" w:cs="Arial"/>
          <w:sz w:val="24"/>
          <w:szCs w:val="24"/>
        </w:rPr>
        <w:t xml:space="preserve"> </w:t>
      </w:r>
      <w:r w:rsidR="00FA4DEB">
        <w:rPr>
          <w:rFonts w:ascii="Arial" w:hAnsi="Arial" w:cs="Arial"/>
          <w:sz w:val="24"/>
          <w:szCs w:val="24"/>
        </w:rPr>
        <w:t xml:space="preserve">Balanço Financeiro, </w:t>
      </w:r>
      <w:r w:rsidR="00AA7110">
        <w:rPr>
          <w:rFonts w:ascii="Arial" w:hAnsi="Arial" w:cs="Arial"/>
          <w:sz w:val="24"/>
          <w:szCs w:val="24"/>
        </w:rPr>
        <w:t xml:space="preserve">da </w:t>
      </w:r>
      <w:r w:rsidR="00FA4DEB">
        <w:rPr>
          <w:rFonts w:ascii="Arial" w:hAnsi="Arial" w:cs="Arial"/>
          <w:sz w:val="24"/>
          <w:szCs w:val="24"/>
        </w:rPr>
        <w:t xml:space="preserve">Demonstração dos Fluxos de Caixa </w:t>
      </w:r>
      <w:r w:rsidR="004B4C79">
        <w:rPr>
          <w:rFonts w:ascii="Arial" w:hAnsi="Arial" w:cs="Arial"/>
          <w:sz w:val="24"/>
          <w:szCs w:val="24"/>
        </w:rPr>
        <w:t>e</w:t>
      </w:r>
      <w:r w:rsidR="00AA7110">
        <w:rPr>
          <w:rFonts w:ascii="Arial" w:hAnsi="Arial" w:cs="Arial"/>
          <w:sz w:val="24"/>
          <w:szCs w:val="24"/>
        </w:rPr>
        <w:t xml:space="preserve"> do</w:t>
      </w:r>
      <w:r w:rsidR="004B4C79">
        <w:rPr>
          <w:rFonts w:ascii="Arial" w:hAnsi="Arial" w:cs="Arial"/>
          <w:sz w:val="24"/>
          <w:szCs w:val="24"/>
        </w:rPr>
        <w:t xml:space="preserve"> Balanço</w:t>
      </w:r>
      <w:r w:rsidR="00FA4DEB">
        <w:rPr>
          <w:rFonts w:ascii="Arial" w:hAnsi="Arial" w:cs="Arial"/>
          <w:sz w:val="24"/>
          <w:szCs w:val="24"/>
        </w:rPr>
        <w:t xml:space="preserve"> Patrimonial, </w:t>
      </w:r>
      <w:proofErr w:type="spellStart"/>
      <w:r w:rsidR="00FA4DEB">
        <w:rPr>
          <w:rFonts w:ascii="Arial" w:hAnsi="Arial" w:cs="Arial"/>
          <w:sz w:val="24"/>
          <w:szCs w:val="24"/>
        </w:rPr>
        <w:t>IPC´</w:t>
      </w:r>
      <w:r w:rsidR="00FA4DEB" w:rsidRPr="00D11FA0">
        <w:rPr>
          <w:rFonts w:ascii="Arial" w:hAnsi="Arial" w:cs="Arial"/>
          <w:sz w:val="24"/>
          <w:szCs w:val="24"/>
          <w:vertAlign w:val="superscript"/>
        </w:rPr>
        <w:t>s</w:t>
      </w:r>
      <w:proofErr w:type="spellEnd"/>
      <w:r w:rsidR="00FA4DEB">
        <w:rPr>
          <w:rFonts w:ascii="Arial" w:hAnsi="Arial" w:cs="Arial"/>
          <w:sz w:val="24"/>
          <w:szCs w:val="24"/>
        </w:rPr>
        <w:t xml:space="preserve"> 06, 08 e 04, a rubrica </w:t>
      </w:r>
      <w:r w:rsidR="00E72E28" w:rsidRPr="00E72E28">
        <w:rPr>
          <w:rFonts w:ascii="Arial" w:hAnsi="Arial" w:cs="Arial"/>
          <w:sz w:val="24"/>
          <w:szCs w:val="24"/>
        </w:rPr>
        <w:t>Caixa e Equivalentes de Caixa</w:t>
      </w:r>
      <w:r w:rsidR="00FA4DEB">
        <w:rPr>
          <w:rFonts w:ascii="Arial" w:hAnsi="Arial" w:cs="Arial"/>
          <w:sz w:val="24"/>
          <w:szCs w:val="24"/>
        </w:rPr>
        <w:t xml:space="preserve"> está representada com valores divergentes nas referidas demonstrações, conforme planilha de composição abaixo: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4"/>
        <w:gridCol w:w="1385"/>
        <w:gridCol w:w="1420"/>
        <w:gridCol w:w="1529"/>
        <w:gridCol w:w="1385"/>
        <w:gridCol w:w="1420"/>
        <w:gridCol w:w="1529"/>
      </w:tblGrid>
      <w:tr w:rsidR="00BC18C7" w:rsidRPr="00494CCF" w14:paraId="7192A234" w14:textId="77777777" w:rsidTr="00D60952">
        <w:trPr>
          <w:trHeight w:val="255"/>
        </w:trPr>
        <w:tc>
          <w:tcPr>
            <w:tcW w:w="1911" w:type="pct"/>
            <w:shd w:val="clear" w:color="000000" w:fill="FFFFFF"/>
            <w:noWrap/>
            <w:vAlign w:val="bottom"/>
            <w:hideMark/>
          </w:tcPr>
          <w:p w14:paraId="6113F016" w14:textId="77777777" w:rsidR="00BC18C7" w:rsidRPr="00494CCF" w:rsidRDefault="00BC18C7" w:rsidP="00494CCF">
            <w:pPr>
              <w:rPr>
                <w:rFonts w:ascii="Arial" w:hAnsi="Arial" w:cs="Arial"/>
                <w:b/>
                <w:bCs/>
                <w:sz w:val="20"/>
              </w:rPr>
            </w:pPr>
            <w:r w:rsidRPr="00494CC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545" w:type="pct"/>
            <w:gridSpan w:val="3"/>
            <w:shd w:val="clear" w:color="000000" w:fill="FFFFFF"/>
            <w:noWrap/>
            <w:vAlign w:val="bottom"/>
            <w:hideMark/>
          </w:tcPr>
          <w:p w14:paraId="2CC2BDB0" w14:textId="26C13956" w:rsidR="00BC18C7" w:rsidRPr="00494CCF" w:rsidRDefault="00BC18C7" w:rsidP="00BC18C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94CCF">
              <w:rPr>
                <w:rFonts w:ascii="Arial" w:hAnsi="Arial" w:cs="Arial"/>
                <w:b/>
                <w:bCs/>
                <w:sz w:val="20"/>
              </w:rPr>
              <w:t>31/12/202</w:t>
            </w:r>
            <w:r w:rsidR="0046698B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545" w:type="pct"/>
            <w:gridSpan w:val="3"/>
            <w:shd w:val="clear" w:color="000000" w:fill="FFFFFF"/>
            <w:noWrap/>
            <w:vAlign w:val="bottom"/>
            <w:hideMark/>
          </w:tcPr>
          <w:p w14:paraId="78ABCADE" w14:textId="5BA24217" w:rsidR="00BC18C7" w:rsidRPr="00494CCF" w:rsidRDefault="00BC18C7" w:rsidP="00BC18C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94CCF">
              <w:rPr>
                <w:rFonts w:ascii="Arial" w:hAnsi="Arial" w:cs="Arial"/>
                <w:b/>
                <w:bCs/>
                <w:sz w:val="20"/>
              </w:rPr>
              <w:t>31/12/202</w:t>
            </w:r>
            <w:r w:rsidR="0046698B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BC18C7" w:rsidRPr="00494CCF" w14:paraId="62CE7915" w14:textId="77777777" w:rsidTr="00D60952">
        <w:trPr>
          <w:trHeight w:val="690"/>
        </w:trPr>
        <w:tc>
          <w:tcPr>
            <w:tcW w:w="1911" w:type="pct"/>
            <w:shd w:val="clear" w:color="000000" w:fill="8DB4E2"/>
            <w:noWrap/>
            <w:vAlign w:val="center"/>
            <w:hideMark/>
          </w:tcPr>
          <w:p w14:paraId="216592F6" w14:textId="77777777" w:rsidR="00494CCF" w:rsidRPr="00494CCF" w:rsidRDefault="00494CCF" w:rsidP="00494CCF">
            <w:pPr>
              <w:rPr>
                <w:rFonts w:ascii="Arial" w:hAnsi="Arial" w:cs="Arial"/>
                <w:b/>
                <w:bCs/>
                <w:sz w:val="20"/>
              </w:rPr>
            </w:pPr>
            <w:r w:rsidRPr="00494CCF">
              <w:rPr>
                <w:rFonts w:ascii="Arial" w:hAnsi="Arial" w:cs="Arial"/>
                <w:b/>
                <w:bCs/>
                <w:sz w:val="20"/>
              </w:rPr>
              <w:t>TÍTULO DA CONTA</w:t>
            </w:r>
          </w:p>
        </w:tc>
        <w:tc>
          <w:tcPr>
            <w:tcW w:w="494" w:type="pct"/>
            <w:shd w:val="clear" w:color="000000" w:fill="8DB4E2"/>
            <w:vAlign w:val="center"/>
            <w:hideMark/>
          </w:tcPr>
          <w:p w14:paraId="50C3BAC3" w14:textId="77777777" w:rsidR="00494CCF" w:rsidRPr="00494CCF" w:rsidRDefault="00494CCF" w:rsidP="00494C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4CCF">
              <w:rPr>
                <w:rFonts w:ascii="Arial" w:hAnsi="Arial" w:cs="Arial"/>
                <w:b/>
                <w:bCs/>
                <w:sz w:val="20"/>
              </w:rPr>
              <w:t>BALANÇO FINANCEIRO</w:t>
            </w:r>
          </w:p>
        </w:tc>
        <w:tc>
          <w:tcPr>
            <w:tcW w:w="506" w:type="pct"/>
            <w:shd w:val="clear" w:color="000000" w:fill="8DB4E2"/>
            <w:vAlign w:val="center"/>
            <w:hideMark/>
          </w:tcPr>
          <w:p w14:paraId="7FE0AB0B" w14:textId="77777777" w:rsidR="00494CCF" w:rsidRPr="00494CCF" w:rsidRDefault="00494CCF" w:rsidP="00494C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4CCF">
              <w:rPr>
                <w:rFonts w:ascii="Arial" w:hAnsi="Arial" w:cs="Arial"/>
                <w:b/>
                <w:bCs/>
                <w:sz w:val="20"/>
              </w:rPr>
              <w:t>FLUXO DE CAIXA</w:t>
            </w:r>
          </w:p>
        </w:tc>
        <w:tc>
          <w:tcPr>
            <w:tcW w:w="545" w:type="pct"/>
            <w:shd w:val="clear" w:color="000000" w:fill="8DB4E2"/>
            <w:vAlign w:val="center"/>
            <w:hideMark/>
          </w:tcPr>
          <w:p w14:paraId="690ECDE3" w14:textId="77777777" w:rsidR="00494CCF" w:rsidRPr="00494CCF" w:rsidRDefault="00494CCF" w:rsidP="00494C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4CCF">
              <w:rPr>
                <w:rFonts w:ascii="Arial" w:hAnsi="Arial" w:cs="Arial"/>
                <w:b/>
                <w:bCs/>
                <w:sz w:val="20"/>
              </w:rPr>
              <w:t>BALANÇO PATRIMONIAL</w:t>
            </w:r>
          </w:p>
        </w:tc>
        <w:tc>
          <w:tcPr>
            <w:tcW w:w="494" w:type="pct"/>
            <w:shd w:val="clear" w:color="000000" w:fill="8DB4E2"/>
            <w:vAlign w:val="center"/>
            <w:hideMark/>
          </w:tcPr>
          <w:p w14:paraId="77FD7845" w14:textId="77777777" w:rsidR="00494CCF" w:rsidRPr="00494CCF" w:rsidRDefault="00494CCF" w:rsidP="00494C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4CCF">
              <w:rPr>
                <w:rFonts w:ascii="Arial" w:hAnsi="Arial" w:cs="Arial"/>
                <w:b/>
                <w:bCs/>
                <w:sz w:val="20"/>
              </w:rPr>
              <w:t>BALANÇO FINANCEIRO</w:t>
            </w:r>
          </w:p>
        </w:tc>
        <w:tc>
          <w:tcPr>
            <w:tcW w:w="506" w:type="pct"/>
            <w:shd w:val="clear" w:color="000000" w:fill="8DB4E2"/>
            <w:vAlign w:val="center"/>
            <w:hideMark/>
          </w:tcPr>
          <w:p w14:paraId="51FBE41B" w14:textId="77777777" w:rsidR="00494CCF" w:rsidRPr="00494CCF" w:rsidRDefault="00494CCF" w:rsidP="00494C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4CCF">
              <w:rPr>
                <w:rFonts w:ascii="Arial" w:hAnsi="Arial" w:cs="Arial"/>
                <w:b/>
                <w:bCs/>
                <w:sz w:val="20"/>
              </w:rPr>
              <w:t>FLUXO DE CAIXA</w:t>
            </w:r>
          </w:p>
        </w:tc>
        <w:tc>
          <w:tcPr>
            <w:tcW w:w="545" w:type="pct"/>
            <w:shd w:val="clear" w:color="000000" w:fill="8DB4E2"/>
            <w:vAlign w:val="center"/>
            <w:hideMark/>
          </w:tcPr>
          <w:p w14:paraId="476AAF28" w14:textId="77777777" w:rsidR="00494CCF" w:rsidRPr="00494CCF" w:rsidRDefault="00494CCF" w:rsidP="00494C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94CCF">
              <w:rPr>
                <w:rFonts w:ascii="Arial" w:hAnsi="Arial" w:cs="Arial"/>
                <w:b/>
                <w:bCs/>
                <w:sz w:val="20"/>
              </w:rPr>
              <w:t>BALANÇO PATRIMONIAL</w:t>
            </w:r>
          </w:p>
        </w:tc>
      </w:tr>
      <w:tr w:rsidR="00BC18C7" w:rsidRPr="00494CCF" w14:paraId="7BE3B82C" w14:textId="77777777" w:rsidTr="00D60952">
        <w:trPr>
          <w:trHeight w:val="450"/>
        </w:trPr>
        <w:tc>
          <w:tcPr>
            <w:tcW w:w="1911" w:type="pct"/>
            <w:shd w:val="clear" w:color="000000" w:fill="C5D9F1"/>
            <w:vAlign w:val="center"/>
            <w:hideMark/>
          </w:tcPr>
          <w:p w14:paraId="2607F585" w14:textId="77777777" w:rsidR="00494CCF" w:rsidRPr="00494CCF" w:rsidRDefault="00494CCF" w:rsidP="00494CCF">
            <w:pPr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Caixa e Equivalentes de Caixa - 111000000</w:t>
            </w:r>
          </w:p>
        </w:tc>
        <w:tc>
          <w:tcPr>
            <w:tcW w:w="494" w:type="pct"/>
            <w:shd w:val="clear" w:color="000000" w:fill="C5D9F1"/>
            <w:noWrap/>
            <w:vAlign w:val="center"/>
            <w:hideMark/>
          </w:tcPr>
          <w:p w14:paraId="1A62AF75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641.659,75</w:t>
            </w:r>
          </w:p>
        </w:tc>
        <w:tc>
          <w:tcPr>
            <w:tcW w:w="506" w:type="pct"/>
            <w:shd w:val="clear" w:color="000000" w:fill="C5D9F1"/>
            <w:noWrap/>
            <w:vAlign w:val="center"/>
            <w:hideMark/>
          </w:tcPr>
          <w:p w14:paraId="56F1E190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641.659,75</w:t>
            </w:r>
          </w:p>
        </w:tc>
        <w:tc>
          <w:tcPr>
            <w:tcW w:w="545" w:type="pct"/>
            <w:shd w:val="clear" w:color="000000" w:fill="C5D9F1"/>
            <w:noWrap/>
            <w:vAlign w:val="center"/>
            <w:hideMark/>
          </w:tcPr>
          <w:p w14:paraId="186724C9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641.659,75</w:t>
            </w:r>
          </w:p>
        </w:tc>
        <w:tc>
          <w:tcPr>
            <w:tcW w:w="494" w:type="pct"/>
            <w:shd w:val="clear" w:color="000000" w:fill="C5D9F1"/>
            <w:noWrap/>
            <w:vAlign w:val="center"/>
            <w:hideMark/>
          </w:tcPr>
          <w:p w14:paraId="47FAF3D5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852.151,48</w:t>
            </w:r>
          </w:p>
        </w:tc>
        <w:tc>
          <w:tcPr>
            <w:tcW w:w="506" w:type="pct"/>
            <w:shd w:val="clear" w:color="000000" w:fill="C5D9F1"/>
            <w:noWrap/>
            <w:vAlign w:val="center"/>
            <w:hideMark/>
          </w:tcPr>
          <w:p w14:paraId="016910CB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852.151,48</w:t>
            </w:r>
          </w:p>
        </w:tc>
        <w:tc>
          <w:tcPr>
            <w:tcW w:w="545" w:type="pct"/>
            <w:shd w:val="clear" w:color="000000" w:fill="C5D9F1"/>
            <w:noWrap/>
            <w:vAlign w:val="center"/>
            <w:hideMark/>
          </w:tcPr>
          <w:p w14:paraId="36B5EA21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852.151,48</w:t>
            </w:r>
          </w:p>
        </w:tc>
      </w:tr>
      <w:tr w:rsidR="00BC18C7" w:rsidRPr="00494CCF" w14:paraId="1DA2D4EE" w14:textId="77777777" w:rsidTr="00D60952">
        <w:trPr>
          <w:trHeight w:val="390"/>
        </w:trPr>
        <w:tc>
          <w:tcPr>
            <w:tcW w:w="1911" w:type="pct"/>
            <w:shd w:val="clear" w:color="000000" w:fill="FFFFFF"/>
            <w:vAlign w:val="center"/>
            <w:hideMark/>
          </w:tcPr>
          <w:p w14:paraId="6A1D6086" w14:textId="77777777" w:rsidR="00494CCF" w:rsidRPr="00494CCF" w:rsidRDefault="00494CCF" w:rsidP="00494CCF">
            <w:pPr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Títulos e Valores Mobiliários - 114100000 (atributo "F")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14:paraId="040CEE4B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06" w:type="pct"/>
            <w:shd w:val="clear" w:color="000000" w:fill="FFFFFF"/>
            <w:noWrap/>
            <w:vAlign w:val="center"/>
            <w:hideMark/>
          </w:tcPr>
          <w:p w14:paraId="7F1E5F27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450.897,00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14:paraId="4B3545F1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14:paraId="55C9023F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06" w:type="pct"/>
            <w:shd w:val="clear" w:color="000000" w:fill="FFFFFF"/>
            <w:noWrap/>
            <w:vAlign w:val="center"/>
            <w:hideMark/>
          </w:tcPr>
          <w:p w14:paraId="1B68009B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584.327,00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14:paraId="7FEC0C5A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</w:tr>
      <w:tr w:rsidR="00BC18C7" w:rsidRPr="00494CCF" w14:paraId="455103B5" w14:textId="77777777" w:rsidTr="00D60952">
        <w:trPr>
          <w:trHeight w:val="465"/>
        </w:trPr>
        <w:tc>
          <w:tcPr>
            <w:tcW w:w="1911" w:type="pct"/>
            <w:shd w:val="clear" w:color="000000" w:fill="C5D9F1"/>
            <w:vAlign w:val="center"/>
            <w:hideMark/>
          </w:tcPr>
          <w:p w14:paraId="0ACF683C" w14:textId="77777777" w:rsidR="00494CCF" w:rsidRPr="00494CCF" w:rsidRDefault="00494CCF" w:rsidP="00494CCF">
            <w:pPr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 xml:space="preserve">Ajustes de Exercícios Anteriores - 237110301 (SD1000010 - baixa de banco)  </w:t>
            </w:r>
          </w:p>
        </w:tc>
        <w:tc>
          <w:tcPr>
            <w:tcW w:w="494" w:type="pct"/>
            <w:shd w:val="clear" w:color="000000" w:fill="C5D9F1"/>
            <w:noWrap/>
            <w:vAlign w:val="center"/>
            <w:hideMark/>
          </w:tcPr>
          <w:p w14:paraId="51DE7AFF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5.231,00</w:t>
            </w:r>
          </w:p>
        </w:tc>
        <w:tc>
          <w:tcPr>
            <w:tcW w:w="506" w:type="pct"/>
            <w:shd w:val="clear" w:color="000000" w:fill="C5D9F1"/>
            <w:noWrap/>
            <w:vAlign w:val="center"/>
            <w:hideMark/>
          </w:tcPr>
          <w:p w14:paraId="5F216120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5.231,00</w:t>
            </w:r>
          </w:p>
        </w:tc>
        <w:tc>
          <w:tcPr>
            <w:tcW w:w="545" w:type="pct"/>
            <w:shd w:val="clear" w:color="000000" w:fill="C5D9F1"/>
            <w:noWrap/>
            <w:vAlign w:val="center"/>
            <w:hideMark/>
          </w:tcPr>
          <w:p w14:paraId="1E97F653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94" w:type="pct"/>
            <w:shd w:val="clear" w:color="000000" w:fill="C5D9F1"/>
            <w:noWrap/>
            <w:vAlign w:val="center"/>
            <w:hideMark/>
          </w:tcPr>
          <w:p w14:paraId="46D17EA2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4.321,00</w:t>
            </w:r>
          </w:p>
        </w:tc>
        <w:tc>
          <w:tcPr>
            <w:tcW w:w="506" w:type="pct"/>
            <w:shd w:val="clear" w:color="000000" w:fill="C5D9F1"/>
            <w:noWrap/>
            <w:vAlign w:val="center"/>
            <w:hideMark/>
          </w:tcPr>
          <w:p w14:paraId="6DF3D455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4.321,00</w:t>
            </w:r>
          </w:p>
        </w:tc>
        <w:tc>
          <w:tcPr>
            <w:tcW w:w="545" w:type="pct"/>
            <w:shd w:val="clear" w:color="000000" w:fill="C5D9F1"/>
            <w:noWrap/>
            <w:vAlign w:val="center"/>
            <w:hideMark/>
          </w:tcPr>
          <w:p w14:paraId="3E25A5A8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</w:tr>
      <w:tr w:rsidR="00BC18C7" w:rsidRPr="00494CCF" w14:paraId="0DF7A3BB" w14:textId="77777777" w:rsidTr="00D60952">
        <w:trPr>
          <w:trHeight w:val="510"/>
        </w:trPr>
        <w:tc>
          <w:tcPr>
            <w:tcW w:w="1911" w:type="pct"/>
            <w:shd w:val="clear" w:color="000000" w:fill="FFFFFF"/>
            <w:vAlign w:val="center"/>
            <w:hideMark/>
          </w:tcPr>
          <w:p w14:paraId="50082340" w14:textId="77777777" w:rsidR="00494CCF" w:rsidRPr="00494CCF" w:rsidRDefault="00494CCF" w:rsidP="00494CCF">
            <w:pPr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 xml:space="preserve">Superávits/Déficits Resultantes de Extinção, Fusão e Cisão - 237110401 (SD1000010 - baixa de banco) excluído saldo inicial 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14:paraId="633D28B0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65.478,00</w:t>
            </w:r>
          </w:p>
        </w:tc>
        <w:tc>
          <w:tcPr>
            <w:tcW w:w="506" w:type="pct"/>
            <w:shd w:val="clear" w:color="000000" w:fill="FFFFFF"/>
            <w:noWrap/>
            <w:vAlign w:val="center"/>
            <w:hideMark/>
          </w:tcPr>
          <w:p w14:paraId="3C4ECAFE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65.478,00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14:paraId="35CE510F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14:paraId="47087DAC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48.552,00</w:t>
            </w:r>
          </w:p>
        </w:tc>
        <w:tc>
          <w:tcPr>
            <w:tcW w:w="506" w:type="pct"/>
            <w:shd w:val="clear" w:color="000000" w:fill="FFFFFF"/>
            <w:noWrap/>
            <w:vAlign w:val="center"/>
            <w:hideMark/>
          </w:tcPr>
          <w:p w14:paraId="2BCA056E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48.552,00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14:paraId="003F0D8E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</w:tr>
      <w:tr w:rsidR="00BC18C7" w:rsidRPr="00494CCF" w14:paraId="0E0C3838" w14:textId="77777777" w:rsidTr="00D60952">
        <w:trPr>
          <w:trHeight w:val="510"/>
        </w:trPr>
        <w:tc>
          <w:tcPr>
            <w:tcW w:w="1911" w:type="pct"/>
            <w:shd w:val="clear" w:color="000000" w:fill="C5D9F1"/>
            <w:vAlign w:val="center"/>
            <w:hideMark/>
          </w:tcPr>
          <w:p w14:paraId="7050F7AD" w14:textId="77777777" w:rsidR="00494CCF" w:rsidRPr="00494CCF" w:rsidRDefault="00494CCF" w:rsidP="00494CCF">
            <w:pPr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 xml:space="preserve">Superávits/Déficits Resultantes de Extinção, Fusão e Cisão - 237110401 (SD1000011 - baixa de poupança) excluído saldo inicial </w:t>
            </w:r>
          </w:p>
        </w:tc>
        <w:tc>
          <w:tcPr>
            <w:tcW w:w="494" w:type="pct"/>
            <w:shd w:val="clear" w:color="000000" w:fill="C5D9F1"/>
            <w:noWrap/>
            <w:vAlign w:val="center"/>
            <w:hideMark/>
          </w:tcPr>
          <w:p w14:paraId="6D3A9FA3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06" w:type="pct"/>
            <w:shd w:val="clear" w:color="000000" w:fill="C5D9F1"/>
            <w:noWrap/>
            <w:vAlign w:val="center"/>
            <w:hideMark/>
          </w:tcPr>
          <w:p w14:paraId="7D0B22ED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45" w:type="pct"/>
            <w:shd w:val="clear" w:color="000000" w:fill="C5D9F1"/>
            <w:noWrap/>
            <w:vAlign w:val="center"/>
            <w:hideMark/>
          </w:tcPr>
          <w:p w14:paraId="2F47E1E6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94" w:type="pct"/>
            <w:shd w:val="clear" w:color="000000" w:fill="C5D9F1"/>
            <w:noWrap/>
            <w:vAlign w:val="center"/>
            <w:hideMark/>
          </w:tcPr>
          <w:p w14:paraId="73B1FB82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06" w:type="pct"/>
            <w:shd w:val="clear" w:color="000000" w:fill="C5D9F1"/>
            <w:noWrap/>
            <w:vAlign w:val="center"/>
            <w:hideMark/>
          </w:tcPr>
          <w:p w14:paraId="0E0AAAF5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45" w:type="pct"/>
            <w:shd w:val="clear" w:color="000000" w:fill="C5D9F1"/>
            <w:noWrap/>
            <w:vAlign w:val="center"/>
            <w:hideMark/>
          </w:tcPr>
          <w:p w14:paraId="4A4D2EE1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</w:tr>
      <w:tr w:rsidR="00BC18C7" w:rsidRPr="00494CCF" w14:paraId="7625CB84" w14:textId="77777777" w:rsidTr="00D60952">
        <w:trPr>
          <w:trHeight w:val="450"/>
        </w:trPr>
        <w:tc>
          <w:tcPr>
            <w:tcW w:w="1911" w:type="pct"/>
            <w:shd w:val="clear" w:color="000000" w:fill="FFFFFF"/>
            <w:vAlign w:val="center"/>
            <w:hideMark/>
          </w:tcPr>
          <w:p w14:paraId="05D584F4" w14:textId="77777777" w:rsidR="00494CCF" w:rsidRPr="00494CCF" w:rsidRDefault="00494CCF" w:rsidP="00494CCF">
            <w:pPr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 xml:space="preserve">Depósitos Restituíveis e Valores Vinculados (113510000) 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14:paraId="6B5A387D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06" w:type="pct"/>
            <w:shd w:val="clear" w:color="000000" w:fill="FFFFFF"/>
            <w:noWrap/>
            <w:vAlign w:val="center"/>
            <w:hideMark/>
          </w:tcPr>
          <w:p w14:paraId="7F3607EC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33.590.862,40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14:paraId="56DAD3F5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14:paraId="24023526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06" w:type="pct"/>
            <w:shd w:val="clear" w:color="000000" w:fill="FFFFFF"/>
            <w:noWrap/>
            <w:vAlign w:val="center"/>
            <w:hideMark/>
          </w:tcPr>
          <w:p w14:paraId="03BDAFCD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41.356.636,98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14:paraId="1F0DF968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</w:tr>
      <w:tr w:rsidR="00BC18C7" w:rsidRPr="00494CCF" w14:paraId="17D26D0B" w14:textId="77777777" w:rsidTr="00D60952">
        <w:trPr>
          <w:trHeight w:val="510"/>
        </w:trPr>
        <w:tc>
          <w:tcPr>
            <w:tcW w:w="1911" w:type="pct"/>
            <w:shd w:val="clear" w:color="000000" w:fill="C5D9F1"/>
            <w:vAlign w:val="center"/>
            <w:hideMark/>
          </w:tcPr>
          <w:p w14:paraId="22FD84C3" w14:textId="77777777" w:rsidR="00494CCF" w:rsidRPr="00494CCF" w:rsidRDefault="00494CCF" w:rsidP="00494CCF">
            <w:pPr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 xml:space="preserve">Ajustes de Exercícios Anteriores - 237110301 (AJ1000003 - incorporação de valores apreendidos por decisão judicial)  </w:t>
            </w:r>
          </w:p>
        </w:tc>
        <w:tc>
          <w:tcPr>
            <w:tcW w:w="494" w:type="pct"/>
            <w:shd w:val="clear" w:color="000000" w:fill="C5D9F1"/>
            <w:noWrap/>
            <w:vAlign w:val="center"/>
            <w:hideMark/>
          </w:tcPr>
          <w:p w14:paraId="72DADF6A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06" w:type="pct"/>
            <w:shd w:val="clear" w:color="000000" w:fill="C5D9F1"/>
            <w:noWrap/>
            <w:vAlign w:val="center"/>
            <w:hideMark/>
          </w:tcPr>
          <w:p w14:paraId="51B9D6A6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45" w:type="pct"/>
            <w:shd w:val="clear" w:color="000000" w:fill="C5D9F1"/>
            <w:noWrap/>
            <w:vAlign w:val="center"/>
            <w:hideMark/>
          </w:tcPr>
          <w:p w14:paraId="616C82EF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94" w:type="pct"/>
            <w:shd w:val="clear" w:color="000000" w:fill="C5D9F1"/>
            <w:noWrap/>
            <w:vAlign w:val="center"/>
            <w:hideMark/>
          </w:tcPr>
          <w:p w14:paraId="1AE7E27E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06" w:type="pct"/>
            <w:shd w:val="clear" w:color="000000" w:fill="C5D9F1"/>
            <w:noWrap/>
            <w:vAlign w:val="center"/>
            <w:hideMark/>
          </w:tcPr>
          <w:p w14:paraId="4CE8C32E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45" w:type="pct"/>
            <w:shd w:val="clear" w:color="000000" w:fill="C5D9F1"/>
            <w:noWrap/>
            <w:vAlign w:val="center"/>
            <w:hideMark/>
          </w:tcPr>
          <w:p w14:paraId="18949986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sz w:val="20"/>
              </w:rPr>
            </w:pPr>
            <w:r w:rsidRPr="00494CCF">
              <w:rPr>
                <w:rFonts w:ascii="Arial" w:hAnsi="Arial" w:cs="Arial"/>
                <w:sz w:val="20"/>
              </w:rPr>
              <w:t>-</w:t>
            </w:r>
          </w:p>
        </w:tc>
      </w:tr>
      <w:tr w:rsidR="00BC18C7" w:rsidRPr="00494CCF" w14:paraId="1ECE81FF" w14:textId="77777777" w:rsidTr="00D60952">
        <w:trPr>
          <w:trHeight w:val="80"/>
        </w:trPr>
        <w:tc>
          <w:tcPr>
            <w:tcW w:w="1911" w:type="pct"/>
            <w:shd w:val="clear" w:color="000000" w:fill="FFFFFF"/>
            <w:noWrap/>
            <w:vAlign w:val="center"/>
            <w:hideMark/>
          </w:tcPr>
          <w:p w14:paraId="7EADFDC8" w14:textId="77777777" w:rsidR="00494CCF" w:rsidRPr="00494CCF" w:rsidRDefault="00494CCF" w:rsidP="00494CCF">
            <w:pPr>
              <w:rPr>
                <w:rFonts w:ascii="Arial" w:hAnsi="Arial" w:cs="Arial"/>
                <w:sz w:val="10"/>
                <w:szCs w:val="10"/>
              </w:rPr>
            </w:pPr>
            <w:r w:rsidRPr="00494CCF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14:paraId="73EDEA19" w14:textId="77777777" w:rsidR="00494CCF" w:rsidRPr="00494CCF" w:rsidRDefault="00494CCF" w:rsidP="00494CCF">
            <w:pPr>
              <w:rPr>
                <w:rFonts w:ascii="Arial" w:hAnsi="Arial" w:cs="Arial"/>
                <w:sz w:val="10"/>
                <w:szCs w:val="10"/>
              </w:rPr>
            </w:pPr>
            <w:r w:rsidRPr="00494CCF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06" w:type="pct"/>
            <w:shd w:val="clear" w:color="000000" w:fill="FFFFFF"/>
            <w:noWrap/>
            <w:vAlign w:val="center"/>
            <w:hideMark/>
          </w:tcPr>
          <w:p w14:paraId="093AB872" w14:textId="77777777" w:rsidR="00494CCF" w:rsidRPr="00494CCF" w:rsidRDefault="00494CCF" w:rsidP="00494CCF">
            <w:pPr>
              <w:rPr>
                <w:rFonts w:ascii="Arial" w:hAnsi="Arial" w:cs="Arial"/>
                <w:sz w:val="10"/>
                <w:szCs w:val="10"/>
              </w:rPr>
            </w:pPr>
            <w:r w:rsidRPr="00494CCF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14:paraId="2CC2AE87" w14:textId="77777777" w:rsidR="00494CCF" w:rsidRPr="00494CCF" w:rsidRDefault="00494CCF" w:rsidP="00494CCF">
            <w:pPr>
              <w:rPr>
                <w:rFonts w:ascii="Arial" w:hAnsi="Arial" w:cs="Arial"/>
                <w:sz w:val="10"/>
                <w:szCs w:val="10"/>
              </w:rPr>
            </w:pPr>
            <w:r w:rsidRPr="00494CCF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494" w:type="pct"/>
            <w:shd w:val="clear" w:color="000000" w:fill="FFFFFF"/>
            <w:noWrap/>
            <w:vAlign w:val="center"/>
            <w:hideMark/>
          </w:tcPr>
          <w:p w14:paraId="43AE44F6" w14:textId="77777777" w:rsidR="00494CCF" w:rsidRPr="00494CCF" w:rsidRDefault="00494CCF" w:rsidP="00494CCF">
            <w:pPr>
              <w:rPr>
                <w:rFonts w:ascii="Arial" w:hAnsi="Arial" w:cs="Arial"/>
                <w:sz w:val="10"/>
                <w:szCs w:val="10"/>
              </w:rPr>
            </w:pPr>
            <w:r w:rsidRPr="00494CCF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06" w:type="pct"/>
            <w:shd w:val="clear" w:color="000000" w:fill="FFFFFF"/>
            <w:noWrap/>
            <w:vAlign w:val="center"/>
            <w:hideMark/>
          </w:tcPr>
          <w:p w14:paraId="0F987BFE" w14:textId="77777777" w:rsidR="00494CCF" w:rsidRPr="00494CCF" w:rsidRDefault="00494CCF" w:rsidP="00494CCF">
            <w:pPr>
              <w:rPr>
                <w:rFonts w:ascii="Arial" w:hAnsi="Arial" w:cs="Arial"/>
                <w:sz w:val="10"/>
                <w:szCs w:val="10"/>
              </w:rPr>
            </w:pPr>
            <w:r w:rsidRPr="00494CCF"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14:paraId="67D984F4" w14:textId="77777777" w:rsidR="00494CCF" w:rsidRPr="00494CCF" w:rsidRDefault="00494CCF" w:rsidP="00494CCF">
            <w:pPr>
              <w:rPr>
                <w:rFonts w:ascii="Arial" w:hAnsi="Arial" w:cs="Arial"/>
                <w:sz w:val="10"/>
                <w:szCs w:val="10"/>
              </w:rPr>
            </w:pPr>
            <w:r w:rsidRPr="00494CCF">
              <w:rPr>
                <w:rFonts w:ascii="Arial" w:hAnsi="Arial" w:cs="Arial"/>
                <w:sz w:val="10"/>
                <w:szCs w:val="10"/>
              </w:rPr>
              <w:t> </w:t>
            </w:r>
          </w:p>
        </w:tc>
      </w:tr>
      <w:tr w:rsidR="00BC18C7" w:rsidRPr="00494CCF" w14:paraId="16578E3B" w14:textId="77777777" w:rsidTr="00D60952">
        <w:trPr>
          <w:trHeight w:val="270"/>
        </w:trPr>
        <w:tc>
          <w:tcPr>
            <w:tcW w:w="1911" w:type="pct"/>
            <w:shd w:val="clear" w:color="000000" w:fill="8DB4E2"/>
            <w:noWrap/>
            <w:vAlign w:val="center"/>
            <w:hideMark/>
          </w:tcPr>
          <w:p w14:paraId="735DE90D" w14:textId="77777777" w:rsidR="00494CCF" w:rsidRPr="00494CCF" w:rsidRDefault="00494CCF" w:rsidP="00494CCF">
            <w:pPr>
              <w:rPr>
                <w:rFonts w:ascii="Arial" w:hAnsi="Arial" w:cs="Arial"/>
                <w:b/>
                <w:bCs/>
                <w:sz w:val="20"/>
              </w:rPr>
            </w:pPr>
            <w:r w:rsidRPr="00494CCF">
              <w:rPr>
                <w:rFonts w:ascii="Arial" w:hAnsi="Arial" w:cs="Arial"/>
                <w:b/>
                <w:bCs/>
                <w:sz w:val="20"/>
              </w:rPr>
              <w:t>TOTAL DE CAIXA E EQUIVALENTES DE CAIXA</w:t>
            </w:r>
          </w:p>
        </w:tc>
        <w:tc>
          <w:tcPr>
            <w:tcW w:w="494" w:type="pct"/>
            <w:shd w:val="clear" w:color="000000" w:fill="8DB4E2"/>
            <w:noWrap/>
            <w:vAlign w:val="center"/>
            <w:hideMark/>
          </w:tcPr>
          <w:p w14:paraId="74C29A9F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94CCF">
              <w:rPr>
                <w:rFonts w:ascii="Arial" w:hAnsi="Arial" w:cs="Arial"/>
                <w:b/>
                <w:bCs/>
                <w:sz w:val="20"/>
              </w:rPr>
              <w:t>712.368,75</w:t>
            </w:r>
          </w:p>
        </w:tc>
        <w:tc>
          <w:tcPr>
            <w:tcW w:w="506" w:type="pct"/>
            <w:shd w:val="clear" w:color="000000" w:fill="8DB4E2"/>
            <w:noWrap/>
            <w:vAlign w:val="center"/>
            <w:hideMark/>
          </w:tcPr>
          <w:p w14:paraId="68B2AC30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94CCF">
              <w:rPr>
                <w:rFonts w:ascii="Arial" w:hAnsi="Arial" w:cs="Arial"/>
                <w:b/>
                <w:bCs/>
                <w:sz w:val="20"/>
              </w:rPr>
              <w:t>34.754.128,15</w:t>
            </w:r>
          </w:p>
        </w:tc>
        <w:tc>
          <w:tcPr>
            <w:tcW w:w="545" w:type="pct"/>
            <w:shd w:val="clear" w:color="000000" w:fill="8DB4E2"/>
            <w:noWrap/>
            <w:vAlign w:val="center"/>
            <w:hideMark/>
          </w:tcPr>
          <w:p w14:paraId="298492F8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94CCF">
              <w:rPr>
                <w:rFonts w:ascii="Arial" w:hAnsi="Arial" w:cs="Arial"/>
                <w:b/>
                <w:bCs/>
                <w:sz w:val="20"/>
              </w:rPr>
              <w:t>641.659,75</w:t>
            </w:r>
          </w:p>
        </w:tc>
        <w:tc>
          <w:tcPr>
            <w:tcW w:w="494" w:type="pct"/>
            <w:shd w:val="clear" w:color="000000" w:fill="8DB4E2"/>
            <w:noWrap/>
            <w:vAlign w:val="center"/>
            <w:hideMark/>
          </w:tcPr>
          <w:p w14:paraId="5E06EC4A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94CCF">
              <w:rPr>
                <w:rFonts w:ascii="Arial" w:hAnsi="Arial" w:cs="Arial"/>
                <w:b/>
                <w:bCs/>
                <w:sz w:val="20"/>
              </w:rPr>
              <w:t>905.024,48</w:t>
            </w:r>
          </w:p>
        </w:tc>
        <w:tc>
          <w:tcPr>
            <w:tcW w:w="506" w:type="pct"/>
            <w:shd w:val="clear" w:color="000000" w:fill="8DB4E2"/>
            <w:noWrap/>
            <w:vAlign w:val="center"/>
            <w:hideMark/>
          </w:tcPr>
          <w:p w14:paraId="4AA3B590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94CCF">
              <w:rPr>
                <w:rFonts w:ascii="Arial" w:hAnsi="Arial" w:cs="Arial"/>
                <w:b/>
                <w:bCs/>
                <w:sz w:val="20"/>
              </w:rPr>
              <w:t>42.845.988,46</w:t>
            </w:r>
          </w:p>
        </w:tc>
        <w:tc>
          <w:tcPr>
            <w:tcW w:w="545" w:type="pct"/>
            <w:shd w:val="clear" w:color="000000" w:fill="8DB4E2"/>
            <w:noWrap/>
            <w:vAlign w:val="center"/>
            <w:hideMark/>
          </w:tcPr>
          <w:p w14:paraId="0579379F" w14:textId="77777777" w:rsidR="00494CCF" w:rsidRPr="00494CCF" w:rsidRDefault="00494CCF" w:rsidP="00494C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94CCF">
              <w:rPr>
                <w:rFonts w:ascii="Arial" w:hAnsi="Arial" w:cs="Arial"/>
                <w:b/>
                <w:bCs/>
                <w:sz w:val="20"/>
              </w:rPr>
              <w:t>852.151,48</w:t>
            </w:r>
          </w:p>
        </w:tc>
      </w:tr>
    </w:tbl>
    <w:p w14:paraId="7CD9BBF0" w14:textId="2A28A2EB" w:rsidR="007D2DF3" w:rsidRDefault="007D2DF3" w:rsidP="00F73925">
      <w:pPr>
        <w:spacing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404C302" w14:textId="53338853" w:rsidR="00FA4DEB" w:rsidRDefault="00FA4DEB" w:rsidP="00FA4DEB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23621307" w14:textId="77777777" w:rsidR="0050086D" w:rsidRDefault="0050086D" w:rsidP="00FA4DEB">
      <w:pPr>
        <w:pStyle w:val="PargrafodaLista"/>
        <w:spacing w:after="240" w:line="360" w:lineRule="auto"/>
        <w:ind w:left="0"/>
        <w:jc w:val="both"/>
        <w:rPr>
          <w:rFonts w:ascii="Arial" w:hAnsi="Arial" w:cs="Arial"/>
          <w:b/>
        </w:rPr>
      </w:pPr>
    </w:p>
    <w:p w14:paraId="3A10C30F" w14:textId="7428E1F1" w:rsidR="00FA4DEB" w:rsidRDefault="00FA4DEB" w:rsidP="00FA4DEB">
      <w:pPr>
        <w:pStyle w:val="PargrafodaLista"/>
        <w:spacing w:after="240" w:line="360" w:lineRule="auto"/>
        <w:ind w:left="0"/>
        <w:jc w:val="both"/>
        <w:rPr>
          <w:rFonts w:ascii="Arial" w:hAnsi="Arial" w:cs="Arial"/>
          <w:b/>
        </w:rPr>
      </w:pPr>
      <w:r w:rsidRPr="005E5846">
        <w:rPr>
          <w:rFonts w:ascii="Arial" w:hAnsi="Arial" w:cs="Arial"/>
          <w:b/>
        </w:rPr>
        <w:lastRenderedPageBreak/>
        <w:t xml:space="preserve">DAS DEMONSTRAÇÕES CONTÁBEIS </w:t>
      </w:r>
    </w:p>
    <w:p w14:paraId="35E24BED" w14:textId="77777777" w:rsidR="0050086D" w:rsidRDefault="0050086D" w:rsidP="00FA4DEB">
      <w:pPr>
        <w:pStyle w:val="PargrafodaLista"/>
        <w:ind w:left="0"/>
        <w:contextualSpacing/>
        <w:jc w:val="both"/>
        <w:rPr>
          <w:rFonts w:ascii="Arial" w:hAnsi="Arial" w:cs="Arial"/>
          <w:b/>
          <w:highlight w:val="yellow"/>
        </w:rPr>
      </w:pPr>
    </w:p>
    <w:p w14:paraId="3017D850" w14:textId="0493D1BF" w:rsidR="00FA4DEB" w:rsidRPr="00482175" w:rsidRDefault="00FA4DEB" w:rsidP="00FA4DEB">
      <w:pPr>
        <w:pStyle w:val="PargrafodaLista"/>
        <w:ind w:left="0"/>
        <w:contextualSpacing/>
        <w:jc w:val="both"/>
        <w:rPr>
          <w:rFonts w:ascii="Arial" w:hAnsi="Arial" w:cs="Arial"/>
          <w:b/>
        </w:rPr>
      </w:pPr>
      <w:r w:rsidRPr="00FA4DEB">
        <w:rPr>
          <w:rFonts w:ascii="Arial" w:hAnsi="Arial" w:cs="Arial"/>
          <w:b/>
          <w:highlight w:val="yellow"/>
        </w:rPr>
        <w:t>Balanço Financeiro</w:t>
      </w:r>
    </w:p>
    <w:p w14:paraId="5A759215" w14:textId="622A3126" w:rsidR="00FA4DEB" w:rsidRDefault="00FA4DEB" w:rsidP="00FA4DEB">
      <w:pPr>
        <w:pStyle w:val="PargrafodaLista"/>
        <w:spacing w:after="240" w:line="360" w:lineRule="auto"/>
        <w:ind w:left="0" w:firstLine="1134"/>
        <w:jc w:val="both"/>
        <w:rPr>
          <w:rFonts w:ascii="Arial" w:hAnsi="Arial" w:cs="Arial"/>
          <w:b/>
          <w:i/>
        </w:rPr>
      </w:pPr>
      <w:r w:rsidRPr="00BC729C">
        <w:rPr>
          <w:rFonts w:ascii="Arial" w:hAnsi="Arial" w:cs="Arial"/>
        </w:rPr>
        <w:t>Para composição do saldo de Caixa e Equivalente de Caixa</w:t>
      </w:r>
      <w:r w:rsidR="00AD4B36">
        <w:rPr>
          <w:rFonts w:ascii="Arial" w:hAnsi="Arial" w:cs="Arial"/>
        </w:rPr>
        <w:t xml:space="preserve">, além do saldo </w:t>
      </w:r>
      <w:r w:rsidR="009500C8">
        <w:rPr>
          <w:rFonts w:ascii="Arial" w:hAnsi="Arial" w:cs="Arial"/>
        </w:rPr>
        <w:t>da conta 1.1.1.0.0.00.00,</w:t>
      </w:r>
      <w:r w:rsidRPr="00BC729C">
        <w:rPr>
          <w:rFonts w:ascii="Arial" w:hAnsi="Arial" w:cs="Arial"/>
        </w:rPr>
        <w:t xml:space="preserve"> utilizou-se também </w:t>
      </w:r>
      <w:r w:rsidRPr="00631136">
        <w:rPr>
          <w:rFonts w:ascii="Arial" w:hAnsi="Arial" w:cs="Arial"/>
          <w:highlight w:val="yellow"/>
        </w:rPr>
        <w:t>a</w:t>
      </w:r>
      <w:r w:rsidR="00081B42">
        <w:rPr>
          <w:rFonts w:ascii="Arial" w:hAnsi="Arial" w:cs="Arial"/>
          <w:highlight w:val="yellow"/>
        </w:rPr>
        <w:t>s</w:t>
      </w:r>
      <w:r w:rsidRPr="00631136">
        <w:rPr>
          <w:rFonts w:ascii="Arial" w:hAnsi="Arial" w:cs="Arial"/>
          <w:highlight w:val="yellow"/>
        </w:rPr>
        <w:t xml:space="preserve"> contas contábeis de Ajustes de Exercícios Anteriores e Superávits ou Déficits Resultantes de Extinção, Fusão e Cisão</w:t>
      </w:r>
      <w:r w:rsidR="00262B30" w:rsidRPr="00262B30">
        <w:rPr>
          <w:rFonts w:ascii="Arial" w:hAnsi="Arial" w:cs="Arial"/>
          <w:bCs/>
          <w:iCs/>
        </w:rPr>
        <w:t>;</w:t>
      </w:r>
    </w:p>
    <w:p w14:paraId="030B2A18" w14:textId="77777777" w:rsidR="00262B30" w:rsidRDefault="00262B30" w:rsidP="00945B39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highlight w:val="yellow"/>
        </w:rPr>
      </w:pPr>
    </w:p>
    <w:p w14:paraId="126900AE" w14:textId="2322A470" w:rsidR="00FA4DEB" w:rsidRDefault="00FA4DEB" w:rsidP="00945B39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  <w:r w:rsidRPr="00FA4DEB">
        <w:rPr>
          <w:rFonts w:ascii="Arial" w:hAnsi="Arial" w:cs="Arial"/>
          <w:b/>
          <w:highlight w:val="yellow"/>
        </w:rPr>
        <w:t>Balanço Patrimonial</w:t>
      </w:r>
    </w:p>
    <w:p w14:paraId="081816F4" w14:textId="795D11ED" w:rsidR="00FD3F22" w:rsidRDefault="00FA4DEB" w:rsidP="00FA4DEB">
      <w:pPr>
        <w:pStyle w:val="PargrafodaLista"/>
        <w:spacing w:after="240" w:line="360" w:lineRule="auto"/>
        <w:ind w:left="0" w:firstLine="1134"/>
        <w:jc w:val="both"/>
        <w:rPr>
          <w:rFonts w:ascii="Arial" w:hAnsi="Arial" w:cs="Arial"/>
        </w:rPr>
      </w:pPr>
      <w:r w:rsidRPr="008C6BDD">
        <w:rPr>
          <w:rFonts w:ascii="Arial" w:hAnsi="Arial" w:cs="Arial"/>
        </w:rPr>
        <w:t>O total apresentado no subgrupo Caixa e Equivalente</w:t>
      </w:r>
      <w:r w:rsidR="004A1120">
        <w:rPr>
          <w:rFonts w:ascii="Arial" w:hAnsi="Arial" w:cs="Arial"/>
        </w:rPr>
        <w:t>s</w:t>
      </w:r>
      <w:r w:rsidRPr="008C6BDD">
        <w:rPr>
          <w:rFonts w:ascii="Arial" w:hAnsi="Arial" w:cs="Arial"/>
        </w:rPr>
        <w:t xml:space="preserve"> de Caixa,</w:t>
      </w:r>
      <w:r w:rsidR="004A1120">
        <w:rPr>
          <w:rFonts w:ascii="Arial" w:hAnsi="Arial" w:cs="Arial"/>
        </w:rPr>
        <w:t xml:space="preserve"> no valor de</w:t>
      </w:r>
      <w:r w:rsidRPr="008C6BDD">
        <w:rPr>
          <w:rFonts w:ascii="Arial" w:hAnsi="Arial" w:cs="Arial"/>
        </w:rPr>
        <w:t xml:space="preserve"> </w:t>
      </w:r>
      <w:r w:rsidRPr="00631136">
        <w:rPr>
          <w:rFonts w:ascii="Arial" w:hAnsi="Arial" w:cs="Arial"/>
          <w:highlight w:val="yellow"/>
        </w:rPr>
        <w:t xml:space="preserve">R$ </w:t>
      </w:r>
      <w:proofErr w:type="spellStart"/>
      <w:r w:rsidR="001579F1">
        <w:rPr>
          <w:rFonts w:ascii="Arial" w:hAnsi="Arial" w:cs="Arial"/>
          <w:highlight w:val="yellow"/>
        </w:rPr>
        <w:t>xxx</w:t>
      </w:r>
      <w:proofErr w:type="spellEnd"/>
      <w:r w:rsidRPr="00631136">
        <w:rPr>
          <w:rFonts w:ascii="Arial" w:hAnsi="Arial" w:cs="Arial"/>
          <w:highlight w:val="yellow"/>
        </w:rPr>
        <w:t xml:space="preserve"> bilhões</w:t>
      </w:r>
      <w:r w:rsidRPr="008C6BDD">
        <w:rPr>
          <w:rFonts w:ascii="Arial" w:hAnsi="Arial" w:cs="Arial"/>
        </w:rPr>
        <w:t xml:space="preserve">, diverge do valor constante no </w:t>
      </w:r>
      <w:r w:rsidRPr="004A1120">
        <w:rPr>
          <w:rFonts w:ascii="Arial" w:hAnsi="Arial" w:cs="Arial"/>
        </w:rPr>
        <w:t>Balanço Financeiro</w:t>
      </w:r>
      <w:r w:rsidR="00FF486A" w:rsidRPr="004A1120">
        <w:rPr>
          <w:rFonts w:ascii="Arial" w:hAnsi="Arial" w:cs="Arial"/>
        </w:rPr>
        <w:t xml:space="preserve"> </w:t>
      </w:r>
      <w:r w:rsidR="0069275A">
        <w:rPr>
          <w:rFonts w:ascii="Arial" w:hAnsi="Arial" w:cs="Arial"/>
        </w:rPr>
        <w:t>devid</w:t>
      </w:r>
      <w:r w:rsidR="005C2363">
        <w:rPr>
          <w:rFonts w:ascii="Arial" w:hAnsi="Arial" w:cs="Arial"/>
        </w:rPr>
        <w:t>o</w:t>
      </w:r>
      <w:r w:rsidR="00FF486A" w:rsidRPr="004A1120">
        <w:rPr>
          <w:rFonts w:ascii="Arial" w:hAnsi="Arial" w:cs="Arial"/>
        </w:rPr>
        <w:t xml:space="preserve"> </w:t>
      </w:r>
      <w:r w:rsidR="008A0197" w:rsidRPr="004A1120">
        <w:rPr>
          <w:rFonts w:ascii="Arial" w:hAnsi="Arial" w:cs="Arial"/>
          <w:highlight w:val="yellow"/>
        </w:rPr>
        <w:t xml:space="preserve">as contas </w:t>
      </w:r>
      <w:r w:rsidR="008A0197" w:rsidRPr="00E20E72">
        <w:rPr>
          <w:rFonts w:ascii="Arial" w:hAnsi="Arial" w:cs="Arial"/>
          <w:highlight w:val="yellow"/>
        </w:rPr>
        <w:t>contábeis de Ajustes de Exercícios Anteriores</w:t>
      </w:r>
      <w:r w:rsidR="00F10E79">
        <w:rPr>
          <w:rFonts w:ascii="Arial" w:hAnsi="Arial" w:cs="Arial"/>
          <w:highlight w:val="yellow"/>
        </w:rPr>
        <w:t xml:space="preserve"> e</w:t>
      </w:r>
      <w:r w:rsidR="008A0197" w:rsidRPr="00E20E72">
        <w:rPr>
          <w:rFonts w:ascii="Arial" w:hAnsi="Arial" w:cs="Arial"/>
          <w:highlight w:val="yellow"/>
        </w:rPr>
        <w:t xml:space="preserve"> Superávit/Déficit Resultante de Extinção, Fusão e Cisão</w:t>
      </w:r>
      <w:r w:rsidR="005D4877">
        <w:rPr>
          <w:rFonts w:ascii="Arial" w:hAnsi="Arial" w:cs="Arial"/>
        </w:rPr>
        <w:t>.</w:t>
      </w:r>
    </w:p>
    <w:p w14:paraId="473C8FA2" w14:textId="32CF0E69" w:rsidR="00FA4DEB" w:rsidRPr="00F240BC" w:rsidRDefault="00FD3F22" w:rsidP="00FA4DEB">
      <w:pPr>
        <w:pStyle w:val="PargrafodaLista"/>
        <w:spacing w:after="240" w:line="360" w:lineRule="auto"/>
        <w:ind w:left="0" w:firstLine="113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D</w:t>
      </w:r>
      <w:r w:rsidRPr="008C6BDD">
        <w:rPr>
          <w:rFonts w:ascii="Arial" w:hAnsi="Arial" w:cs="Arial"/>
        </w:rPr>
        <w:t xml:space="preserve">iverge </w:t>
      </w:r>
      <w:r w:rsidRPr="005D4877">
        <w:rPr>
          <w:rFonts w:ascii="Arial" w:hAnsi="Arial" w:cs="Arial"/>
          <w:highlight w:val="yellow"/>
        </w:rPr>
        <w:t>também</w:t>
      </w:r>
      <w:r w:rsidR="008A0197">
        <w:rPr>
          <w:rFonts w:ascii="Arial" w:hAnsi="Arial" w:cs="Arial"/>
        </w:rPr>
        <w:t xml:space="preserve"> d</w:t>
      </w:r>
      <w:r w:rsidR="00337872">
        <w:rPr>
          <w:rFonts w:ascii="Arial" w:hAnsi="Arial" w:cs="Arial"/>
        </w:rPr>
        <w:t>a Demonstração dos</w:t>
      </w:r>
      <w:r w:rsidR="00FA4DEB" w:rsidRPr="008C6BDD">
        <w:rPr>
          <w:rFonts w:ascii="Arial" w:hAnsi="Arial" w:cs="Arial"/>
        </w:rPr>
        <w:t xml:space="preserve"> Fluxo</w:t>
      </w:r>
      <w:r w:rsidR="00337872">
        <w:rPr>
          <w:rFonts w:ascii="Arial" w:hAnsi="Arial" w:cs="Arial"/>
        </w:rPr>
        <w:t>s</w:t>
      </w:r>
      <w:r w:rsidR="00FA4DEB" w:rsidRPr="008C6BDD">
        <w:rPr>
          <w:rFonts w:ascii="Arial" w:hAnsi="Arial" w:cs="Arial"/>
        </w:rPr>
        <w:t xml:space="preserve"> de Caixa, em razão da inclusão </w:t>
      </w:r>
      <w:r w:rsidR="00FA4DEB" w:rsidRPr="00E20E72">
        <w:rPr>
          <w:rFonts w:ascii="Arial" w:hAnsi="Arial" w:cs="Arial"/>
          <w:highlight w:val="yellow"/>
        </w:rPr>
        <w:t>dos investimentos financeiros do Regime Próprio de Previdência, bem como</w:t>
      </w:r>
      <w:r w:rsidR="00081B42" w:rsidRPr="00E20E72">
        <w:rPr>
          <w:rFonts w:ascii="Arial" w:hAnsi="Arial" w:cs="Arial"/>
          <w:highlight w:val="yellow"/>
        </w:rPr>
        <w:t xml:space="preserve"> </w:t>
      </w:r>
      <w:r w:rsidR="00E20E72" w:rsidRPr="00E20E72">
        <w:rPr>
          <w:rFonts w:ascii="Arial" w:hAnsi="Arial" w:cs="Arial"/>
          <w:highlight w:val="yellow"/>
        </w:rPr>
        <w:t>d</w:t>
      </w:r>
      <w:r w:rsidR="00081B42" w:rsidRPr="00E20E72">
        <w:rPr>
          <w:rFonts w:ascii="Arial" w:hAnsi="Arial" w:cs="Arial"/>
          <w:highlight w:val="yellow"/>
        </w:rPr>
        <w:t>as contas contábeis de Ajustes de Exercícios Anteriores,</w:t>
      </w:r>
      <w:r w:rsidR="00FA4DEB" w:rsidRPr="00E20E72">
        <w:rPr>
          <w:rFonts w:ascii="Arial" w:hAnsi="Arial" w:cs="Arial"/>
          <w:highlight w:val="yellow"/>
        </w:rPr>
        <w:t xml:space="preserve"> Superávit/Déficit Resultante de Extinção, Fusão e Cisão e dos </w:t>
      </w:r>
      <w:r w:rsidR="00BE5A22">
        <w:rPr>
          <w:rFonts w:ascii="Arial" w:hAnsi="Arial" w:cs="Arial"/>
          <w:highlight w:val="yellow"/>
        </w:rPr>
        <w:t>D</w:t>
      </w:r>
      <w:r w:rsidR="00FA4DEB" w:rsidRPr="00E20E72">
        <w:rPr>
          <w:rFonts w:ascii="Arial" w:hAnsi="Arial" w:cs="Arial"/>
          <w:highlight w:val="yellow"/>
        </w:rPr>
        <w:t>epósitos Restituíveis e Valores Vinculados</w:t>
      </w:r>
      <w:r w:rsidR="00FA4DEB" w:rsidRPr="00E20E72">
        <w:rPr>
          <w:rFonts w:ascii="Arial" w:hAnsi="Arial" w:cs="Arial"/>
          <w:b/>
          <w:i/>
          <w:highlight w:val="yellow"/>
        </w:rPr>
        <w:t>.</w:t>
      </w:r>
    </w:p>
    <w:p w14:paraId="2EF7BF98" w14:textId="717DF837" w:rsidR="00F240BC" w:rsidRDefault="00F240BC" w:rsidP="00FA4DEB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  <w:b/>
        </w:rPr>
      </w:pPr>
    </w:p>
    <w:p w14:paraId="4D4738B5" w14:textId="77777777" w:rsidR="00FA4DEB" w:rsidRPr="005B574A" w:rsidRDefault="00FA4DEB" w:rsidP="00FA4DEB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  <w:b/>
        </w:rPr>
      </w:pPr>
      <w:r w:rsidRPr="00FA4DEB">
        <w:rPr>
          <w:rFonts w:ascii="Arial" w:hAnsi="Arial" w:cs="Arial"/>
          <w:b/>
          <w:highlight w:val="yellow"/>
        </w:rPr>
        <w:t>Demonstração dos Fluxos de Caixa</w:t>
      </w:r>
    </w:p>
    <w:p w14:paraId="34CDAB07" w14:textId="11A467BC" w:rsidR="00FA4DEB" w:rsidRPr="00D50694" w:rsidRDefault="00FA4DEB" w:rsidP="00FA4DEB">
      <w:pPr>
        <w:pStyle w:val="PargrafodaLista"/>
        <w:spacing w:after="240" w:line="360" w:lineRule="auto"/>
        <w:ind w:left="0" w:firstLine="1134"/>
        <w:jc w:val="both"/>
        <w:rPr>
          <w:rFonts w:ascii="Arial" w:hAnsi="Arial" w:cs="Arial"/>
          <w:iCs/>
        </w:rPr>
      </w:pPr>
      <w:r w:rsidRPr="008C6BDD">
        <w:rPr>
          <w:rFonts w:ascii="Arial" w:hAnsi="Arial" w:cs="Arial"/>
        </w:rPr>
        <w:t>Para composição do saldo de Caixa e Equivalente</w:t>
      </w:r>
      <w:r w:rsidR="004B6D3D">
        <w:rPr>
          <w:rFonts w:ascii="Arial" w:hAnsi="Arial" w:cs="Arial"/>
        </w:rPr>
        <w:t>s</w:t>
      </w:r>
      <w:r w:rsidRPr="008C6BDD">
        <w:rPr>
          <w:rFonts w:ascii="Arial" w:hAnsi="Arial" w:cs="Arial"/>
        </w:rPr>
        <w:t xml:space="preserve"> de Caixa</w:t>
      </w:r>
      <w:r w:rsidR="007617E3">
        <w:rPr>
          <w:rFonts w:ascii="Arial" w:hAnsi="Arial" w:cs="Arial"/>
        </w:rPr>
        <w:t>,</w:t>
      </w:r>
      <w:r w:rsidR="00B1031D" w:rsidRPr="00B1031D">
        <w:rPr>
          <w:rFonts w:ascii="Arial" w:hAnsi="Arial" w:cs="Arial"/>
        </w:rPr>
        <w:t xml:space="preserve"> </w:t>
      </w:r>
      <w:r w:rsidR="00B1031D">
        <w:rPr>
          <w:rFonts w:ascii="Arial" w:hAnsi="Arial" w:cs="Arial"/>
        </w:rPr>
        <w:t>além do saldo da conta 1.1.1.0.0.00.00</w:t>
      </w:r>
      <w:r w:rsidR="009A610C">
        <w:rPr>
          <w:rFonts w:ascii="Arial" w:hAnsi="Arial" w:cs="Arial"/>
        </w:rPr>
        <w:t>,</w:t>
      </w:r>
      <w:r w:rsidRPr="008C6BDD">
        <w:rPr>
          <w:rFonts w:ascii="Arial" w:hAnsi="Arial" w:cs="Arial"/>
        </w:rPr>
        <w:t xml:space="preserve"> utilizou-se também os </w:t>
      </w:r>
      <w:r w:rsidRPr="00E20E72">
        <w:rPr>
          <w:rFonts w:ascii="Arial" w:hAnsi="Arial" w:cs="Arial"/>
          <w:highlight w:val="yellow"/>
        </w:rPr>
        <w:t>investimentos financeiros do Regime Próprio de Previdência, atributo “F”, bem como a</w:t>
      </w:r>
      <w:r w:rsidR="00E20E72" w:rsidRPr="00E20E72">
        <w:rPr>
          <w:rFonts w:ascii="Arial" w:hAnsi="Arial" w:cs="Arial"/>
          <w:highlight w:val="yellow"/>
        </w:rPr>
        <w:t>s</w:t>
      </w:r>
      <w:r w:rsidRPr="00E20E72">
        <w:rPr>
          <w:rFonts w:ascii="Arial" w:hAnsi="Arial" w:cs="Arial"/>
          <w:highlight w:val="yellow"/>
        </w:rPr>
        <w:t xml:space="preserve"> contas contábeis de Ajustes de Exercícios Anteriores</w:t>
      </w:r>
      <w:r w:rsidR="00BE5A22">
        <w:rPr>
          <w:rFonts w:ascii="Arial" w:hAnsi="Arial" w:cs="Arial"/>
          <w:highlight w:val="yellow"/>
        </w:rPr>
        <w:t>,</w:t>
      </w:r>
      <w:r w:rsidRPr="00E20E72">
        <w:rPr>
          <w:rFonts w:ascii="Arial" w:hAnsi="Arial" w:cs="Arial"/>
          <w:highlight w:val="yellow"/>
        </w:rPr>
        <w:t xml:space="preserve"> Superávits ou Déficits Resultantes de Extinção, Fusão e Cisão e Depósitos Restituíveis e Valores Vinculados</w:t>
      </w:r>
      <w:r w:rsidRPr="00E20E72">
        <w:rPr>
          <w:rFonts w:ascii="Arial" w:hAnsi="Arial" w:cs="Arial"/>
          <w:i/>
          <w:highlight w:val="yellow"/>
        </w:rPr>
        <w:t>.</w:t>
      </w:r>
    </w:p>
    <w:sectPr w:rsidR="00FA4DEB" w:rsidRPr="00D50694" w:rsidSect="00AD4B36">
      <w:pgSz w:w="16838" w:h="11906" w:orient="landscape"/>
      <w:pgMar w:top="1701" w:right="1245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810DF"/>
    <w:multiLevelType w:val="multilevel"/>
    <w:tmpl w:val="EE2A6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3038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EB"/>
    <w:rsid w:val="00081B42"/>
    <w:rsid w:val="000A7D5C"/>
    <w:rsid w:val="000E59AD"/>
    <w:rsid w:val="000F580A"/>
    <w:rsid w:val="0011013E"/>
    <w:rsid w:val="001579F1"/>
    <w:rsid w:val="00191D21"/>
    <w:rsid w:val="00262B30"/>
    <w:rsid w:val="002D5BFC"/>
    <w:rsid w:val="00332574"/>
    <w:rsid w:val="00337872"/>
    <w:rsid w:val="00361674"/>
    <w:rsid w:val="0046698B"/>
    <w:rsid w:val="00494CCF"/>
    <w:rsid w:val="004A1120"/>
    <w:rsid w:val="004B4C79"/>
    <w:rsid w:val="004B6D3D"/>
    <w:rsid w:val="004E35EC"/>
    <w:rsid w:val="0050086D"/>
    <w:rsid w:val="00505F98"/>
    <w:rsid w:val="005C2363"/>
    <w:rsid w:val="005C4829"/>
    <w:rsid w:val="005D4877"/>
    <w:rsid w:val="00617521"/>
    <w:rsid w:val="00631136"/>
    <w:rsid w:val="00654855"/>
    <w:rsid w:val="0069275A"/>
    <w:rsid w:val="006D7860"/>
    <w:rsid w:val="0073504B"/>
    <w:rsid w:val="00755E2F"/>
    <w:rsid w:val="007617E3"/>
    <w:rsid w:val="007B7D58"/>
    <w:rsid w:val="007D2DF3"/>
    <w:rsid w:val="00847361"/>
    <w:rsid w:val="00891CE7"/>
    <w:rsid w:val="008A0197"/>
    <w:rsid w:val="00910B6B"/>
    <w:rsid w:val="0094067F"/>
    <w:rsid w:val="00945B39"/>
    <w:rsid w:val="009500C8"/>
    <w:rsid w:val="00966C74"/>
    <w:rsid w:val="009A610C"/>
    <w:rsid w:val="00A27302"/>
    <w:rsid w:val="00A62018"/>
    <w:rsid w:val="00AA7110"/>
    <w:rsid w:val="00AD4B36"/>
    <w:rsid w:val="00B1031D"/>
    <w:rsid w:val="00BC18C7"/>
    <w:rsid w:val="00BE5A22"/>
    <w:rsid w:val="00C31841"/>
    <w:rsid w:val="00D24B63"/>
    <w:rsid w:val="00D50694"/>
    <w:rsid w:val="00D60952"/>
    <w:rsid w:val="00DC65D7"/>
    <w:rsid w:val="00DD6813"/>
    <w:rsid w:val="00E20E72"/>
    <w:rsid w:val="00E61C02"/>
    <w:rsid w:val="00E72E28"/>
    <w:rsid w:val="00E86038"/>
    <w:rsid w:val="00F10E79"/>
    <w:rsid w:val="00F240BC"/>
    <w:rsid w:val="00F73925"/>
    <w:rsid w:val="00FA4DEB"/>
    <w:rsid w:val="00FD3F22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4BCF"/>
  <w15:docId w15:val="{065CE8CC-88FE-448A-AFAF-C9153E86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D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4D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DE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A4DEB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HELANY DA SILVA</dc:creator>
  <cp:lastModifiedBy>Elaine Zanetti</cp:lastModifiedBy>
  <cp:revision>3</cp:revision>
  <dcterms:created xsi:type="dcterms:W3CDTF">2024-11-19T13:50:00Z</dcterms:created>
  <dcterms:modified xsi:type="dcterms:W3CDTF">2024-11-28T13:48:00Z</dcterms:modified>
</cp:coreProperties>
</file>