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  <w:bookmarkStart w:id="0" w:name="_GoBack"/>
      <w:bookmarkEnd w:id="0"/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Pr="0032767F" w:rsidRDefault="00521B9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SECRETARIA DA ADMINISTRAÇÃO (SECAD)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76E99" w:rsidRDefault="00E76E99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76E99" w:rsidRDefault="00E76E99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903BD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F903BD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 xml:space="preserve"> 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3C140D" w:rsidRPr="0032767F" w:rsidRDefault="003C140D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E76E99" w:rsidRDefault="00E76E99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</w:t>
      </w: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13527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DA824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35A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D69B8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FD48D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D46B9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58636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Pr="005A21BB">
        <w:rPr>
          <w:color w:val="336133"/>
          <w:sz w:val="52"/>
          <w:szCs w:val="72"/>
        </w:rPr>
        <w:br w:type="page"/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 xml:space="preserve">referentes às manifestações da </w:t>
      </w:r>
      <w:r w:rsidR="00521B97">
        <w:rPr>
          <w:sz w:val="24"/>
          <w:szCs w:val="24"/>
        </w:rPr>
        <w:t>Secretaria da Administração (SECAD)</w:t>
      </w:r>
      <w:r w:rsidR="008261A1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>ia (SGO)</w:t>
      </w:r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 xml:space="preserve">no período de 1º de janeiro </w:t>
      </w:r>
      <w:r w:rsidR="003C140D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Pr="00F25A5C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 w:rsidRPr="00F25A5C">
        <w:rPr>
          <w:sz w:val="24"/>
          <w:szCs w:val="28"/>
        </w:rPr>
        <w:t xml:space="preserve">Foram registrados, no </w:t>
      </w:r>
      <w:r w:rsidR="00B234D4" w:rsidRPr="00F25A5C">
        <w:rPr>
          <w:sz w:val="24"/>
          <w:szCs w:val="28"/>
        </w:rPr>
        <w:t>primeiro semestre d</w:t>
      </w:r>
      <w:r w:rsidRPr="00F25A5C">
        <w:rPr>
          <w:sz w:val="24"/>
          <w:szCs w:val="28"/>
        </w:rPr>
        <w:t xml:space="preserve">e </w:t>
      </w:r>
      <w:r w:rsidR="00C93A10" w:rsidRPr="00F25A5C">
        <w:rPr>
          <w:sz w:val="24"/>
          <w:szCs w:val="28"/>
        </w:rPr>
        <w:t>201</w:t>
      </w:r>
      <w:r w:rsidR="00B234D4" w:rsidRPr="00F25A5C">
        <w:rPr>
          <w:sz w:val="24"/>
          <w:szCs w:val="28"/>
        </w:rPr>
        <w:t>4</w:t>
      </w:r>
      <w:r w:rsidRPr="00F25A5C">
        <w:rPr>
          <w:sz w:val="24"/>
          <w:szCs w:val="28"/>
        </w:rPr>
        <w:t>,</w:t>
      </w:r>
      <w:r w:rsidR="00C93A10" w:rsidRPr="00F25A5C">
        <w:rPr>
          <w:sz w:val="24"/>
          <w:szCs w:val="28"/>
        </w:rPr>
        <w:t xml:space="preserve"> </w:t>
      </w:r>
      <w:r w:rsidR="00521B97">
        <w:rPr>
          <w:sz w:val="24"/>
          <w:szCs w:val="28"/>
        </w:rPr>
        <w:t>67</w:t>
      </w:r>
      <w:r w:rsidRPr="00F25A5C">
        <w:rPr>
          <w:sz w:val="24"/>
          <w:szCs w:val="28"/>
        </w:rPr>
        <w:t>(</w:t>
      </w:r>
      <w:r w:rsidR="00521B97">
        <w:rPr>
          <w:sz w:val="24"/>
          <w:szCs w:val="28"/>
        </w:rPr>
        <w:t>sessenta e sete</w:t>
      </w:r>
      <w:r w:rsidR="002D7FAF" w:rsidRPr="00F25A5C">
        <w:rPr>
          <w:sz w:val="24"/>
          <w:szCs w:val="28"/>
        </w:rPr>
        <w:t>)</w:t>
      </w:r>
      <w:r w:rsidRPr="00F25A5C">
        <w:rPr>
          <w:sz w:val="24"/>
          <w:szCs w:val="28"/>
        </w:rPr>
        <w:t xml:space="preserve"> acionamentos</w:t>
      </w:r>
      <w:r w:rsidR="00C93A10" w:rsidRPr="00F25A5C">
        <w:rPr>
          <w:sz w:val="24"/>
          <w:szCs w:val="28"/>
        </w:rPr>
        <w:t>. A média mensal de recebimentos foi de</w:t>
      </w:r>
      <w:r w:rsidR="00E76E99">
        <w:rPr>
          <w:sz w:val="24"/>
          <w:szCs w:val="28"/>
        </w:rPr>
        <w:t xml:space="preserve"> </w:t>
      </w:r>
      <w:r w:rsidR="00521B97">
        <w:rPr>
          <w:sz w:val="24"/>
          <w:szCs w:val="28"/>
        </w:rPr>
        <w:t>11</w:t>
      </w:r>
      <w:r w:rsidR="00C93A10" w:rsidRPr="00F25A5C">
        <w:rPr>
          <w:sz w:val="24"/>
          <w:szCs w:val="28"/>
        </w:rPr>
        <w:t xml:space="preserve"> </w:t>
      </w:r>
      <w:r w:rsidR="00BF1DDA">
        <w:rPr>
          <w:sz w:val="24"/>
          <w:szCs w:val="28"/>
        </w:rPr>
        <w:t>(</w:t>
      </w:r>
      <w:r w:rsidR="00521B97">
        <w:rPr>
          <w:sz w:val="24"/>
          <w:szCs w:val="28"/>
        </w:rPr>
        <w:t>onze</w:t>
      </w:r>
      <w:r w:rsidR="004137B1" w:rsidRPr="00F25A5C">
        <w:rPr>
          <w:sz w:val="24"/>
          <w:szCs w:val="28"/>
        </w:rPr>
        <w:t>)</w:t>
      </w:r>
      <w:r w:rsidR="002F6536" w:rsidRPr="00F25A5C">
        <w:rPr>
          <w:sz w:val="24"/>
          <w:szCs w:val="28"/>
        </w:rPr>
        <w:t xml:space="preserve"> atendimentos/</w:t>
      </w:r>
      <w:r w:rsidR="00C93A10" w:rsidRPr="00F25A5C">
        <w:rPr>
          <w:sz w:val="24"/>
          <w:szCs w:val="28"/>
        </w:rPr>
        <w:t>mês.</w:t>
      </w:r>
      <w:r w:rsidR="009F09D8" w:rsidRPr="00F25A5C">
        <w:rPr>
          <w:sz w:val="24"/>
          <w:szCs w:val="28"/>
        </w:rPr>
        <w:t xml:space="preserve"> </w:t>
      </w:r>
    </w:p>
    <w:p w:rsidR="00575EAC" w:rsidRPr="00B041AB" w:rsidRDefault="00FE4CCB" w:rsidP="00BD5A6E">
      <w:pPr>
        <w:pStyle w:val="PargrafodaLista"/>
        <w:spacing w:before="240"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</w:t>
      </w:r>
    </w:p>
    <w:p w:rsidR="009E72B0" w:rsidRDefault="00E26767" w:rsidP="00F25A5C">
      <w:pPr>
        <w:pStyle w:val="PargrafodaLista"/>
        <w:spacing w:after="0" w:line="240" w:lineRule="auto"/>
        <w:ind w:left="0" w:firstLine="2977"/>
        <w:jc w:val="both"/>
        <w:rPr>
          <w:sz w:val="24"/>
          <w:szCs w:val="28"/>
        </w:rPr>
      </w:pPr>
      <w:r w:rsidRPr="00BD5A6E">
        <w:rPr>
          <w:b/>
          <w:sz w:val="24"/>
          <w:szCs w:val="24"/>
        </w:rPr>
        <w:t xml:space="preserve"> </w:t>
      </w:r>
      <w:r w:rsidR="002D7FAF">
        <w:rPr>
          <w:b/>
          <w:sz w:val="24"/>
          <w:szCs w:val="24"/>
        </w:rPr>
        <w:t xml:space="preserve">   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0A5060" w:rsidRDefault="004906D1" w:rsidP="004906D1">
      <w:pPr>
        <w:pStyle w:val="PargrafodaLista"/>
        <w:numPr>
          <w:ilvl w:val="0"/>
          <w:numId w:val="31"/>
        </w:num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5060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CB7848" w:rsidRDefault="00CB7848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Importante salientar que as demandas do tipo solicitação são atinentes apenas à área da saúde.</w:t>
      </w:r>
    </w:p>
    <w:p w:rsidR="0092078D" w:rsidRPr="00FD1EDF" w:rsidRDefault="002117F1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 w:rsidRPr="00FD1EDF">
        <w:rPr>
          <w:sz w:val="24"/>
          <w:szCs w:val="28"/>
        </w:rPr>
        <w:t xml:space="preserve">Conforme demonstrado no quadro </w:t>
      </w:r>
      <w:r w:rsidR="0092078D" w:rsidRPr="00FD1EDF">
        <w:rPr>
          <w:sz w:val="24"/>
          <w:szCs w:val="28"/>
        </w:rPr>
        <w:t>1</w:t>
      </w:r>
      <w:r w:rsidRPr="00FD1EDF">
        <w:rPr>
          <w:sz w:val="24"/>
          <w:szCs w:val="28"/>
        </w:rPr>
        <w:t>, a</w:t>
      </w:r>
      <w:r w:rsidR="00360D4A" w:rsidRPr="00FD1EDF">
        <w:rPr>
          <w:sz w:val="24"/>
          <w:szCs w:val="28"/>
        </w:rPr>
        <w:t xml:space="preserve"> tipologia que apresentou maior número de ocorrências no </w:t>
      </w:r>
      <w:r w:rsidR="00427619" w:rsidRPr="00FD1EDF">
        <w:rPr>
          <w:sz w:val="24"/>
          <w:szCs w:val="28"/>
        </w:rPr>
        <w:t>semestre</w:t>
      </w:r>
      <w:r w:rsidR="00360D4A" w:rsidRPr="00FD1EDF">
        <w:rPr>
          <w:sz w:val="24"/>
          <w:szCs w:val="28"/>
        </w:rPr>
        <w:t xml:space="preserve"> foi </w:t>
      </w:r>
      <w:r w:rsidR="0092078D" w:rsidRPr="00FD1EDF">
        <w:rPr>
          <w:sz w:val="24"/>
          <w:szCs w:val="28"/>
        </w:rPr>
        <w:t>o acionamento que não gera demand</w:t>
      </w:r>
      <w:r w:rsidR="00A571EE" w:rsidRPr="00FD1EDF">
        <w:rPr>
          <w:sz w:val="24"/>
          <w:szCs w:val="28"/>
        </w:rPr>
        <w:t>a</w:t>
      </w:r>
      <w:r w:rsidR="00360D4A" w:rsidRPr="00FD1EDF">
        <w:rPr>
          <w:sz w:val="24"/>
          <w:szCs w:val="28"/>
        </w:rPr>
        <w:t>.</w:t>
      </w:r>
      <w:r w:rsidR="00AD11E3" w:rsidRPr="00FD1EDF">
        <w:rPr>
          <w:sz w:val="24"/>
          <w:szCs w:val="28"/>
        </w:rPr>
        <w:t xml:space="preserve"> </w:t>
      </w:r>
      <w:r w:rsidR="002C2A58" w:rsidRPr="00FD1EDF">
        <w:rPr>
          <w:sz w:val="24"/>
          <w:szCs w:val="28"/>
        </w:rPr>
        <w:t>O</w:t>
      </w:r>
      <w:r w:rsidR="00AD11E3" w:rsidRPr="00FD1EDF">
        <w:rPr>
          <w:sz w:val="24"/>
          <w:szCs w:val="28"/>
        </w:rPr>
        <w:t xml:space="preserve"> gráfico </w:t>
      </w:r>
      <w:r w:rsidRPr="00FD1EDF">
        <w:rPr>
          <w:sz w:val="24"/>
          <w:szCs w:val="28"/>
        </w:rPr>
        <w:t>1</w:t>
      </w:r>
      <w:r w:rsidR="00EE1D29" w:rsidRPr="00FD1EDF">
        <w:rPr>
          <w:sz w:val="24"/>
          <w:szCs w:val="28"/>
        </w:rPr>
        <w:t xml:space="preserve"> </w:t>
      </w:r>
      <w:r w:rsidR="002C2A58" w:rsidRPr="00FD1EDF">
        <w:rPr>
          <w:sz w:val="24"/>
          <w:szCs w:val="28"/>
        </w:rPr>
        <w:t>nos permite observar que</w:t>
      </w:r>
      <w:r w:rsidR="00EE1D29" w:rsidRPr="00FD1EDF">
        <w:rPr>
          <w:sz w:val="24"/>
          <w:szCs w:val="28"/>
        </w:rPr>
        <w:t xml:space="preserve"> </w:t>
      </w:r>
      <w:r w:rsidR="002C2A58" w:rsidRPr="00FD1EDF">
        <w:rPr>
          <w:sz w:val="24"/>
          <w:szCs w:val="28"/>
        </w:rPr>
        <w:t xml:space="preserve">essa tipologia </w:t>
      </w:r>
      <w:r w:rsidR="00EE1D29" w:rsidRPr="00FD1EDF">
        <w:rPr>
          <w:sz w:val="24"/>
          <w:szCs w:val="28"/>
        </w:rPr>
        <w:t xml:space="preserve">representa </w:t>
      </w:r>
      <w:r w:rsidR="000B4944">
        <w:rPr>
          <w:sz w:val="24"/>
          <w:szCs w:val="28"/>
        </w:rPr>
        <w:t>49</w:t>
      </w:r>
      <w:r w:rsidR="00EE1D29" w:rsidRPr="00FD1EDF">
        <w:rPr>
          <w:sz w:val="24"/>
          <w:szCs w:val="28"/>
        </w:rPr>
        <w:t xml:space="preserve">% do total de acionamentos </w:t>
      </w:r>
      <w:r w:rsidR="00A571EE" w:rsidRPr="00FD1EDF">
        <w:rPr>
          <w:sz w:val="24"/>
          <w:szCs w:val="28"/>
        </w:rPr>
        <w:t>d</w:t>
      </w:r>
      <w:r w:rsidR="0092078D" w:rsidRPr="00FD1EDF">
        <w:rPr>
          <w:sz w:val="24"/>
          <w:szCs w:val="28"/>
        </w:rPr>
        <w:t>ess</w:t>
      </w:r>
      <w:r w:rsidR="00A571EE" w:rsidRPr="00FD1EDF">
        <w:rPr>
          <w:sz w:val="24"/>
          <w:szCs w:val="28"/>
        </w:rPr>
        <w:t>a área</w:t>
      </w:r>
      <w:r w:rsidR="00085547" w:rsidRPr="00FD1EDF">
        <w:rPr>
          <w:sz w:val="24"/>
          <w:szCs w:val="28"/>
        </w:rPr>
        <w:t xml:space="preserve">. A </w:t>
      </w:r>
      <w:r w:rsidR="0092078D" w:rsidRPr="00FD1EDF">
        <w:rPr>
          <w:sz w:val="24"/>
          <w:szCs w:val="28"/>
        </w:rPr>
        <w:t xml:space="preserve">reclamação representa </w:t>
      </w:r>
      <w:r w:rsidR="000B4944">
        <w:rPr>
          <w:sz w:val="24"/>
          <w:szCs w:val="28"/>
        </w:rPr>
        <w:t>4</w:t>
      </w:r>
      <w:r w:rsidR="008123FA" w:rsidRPr="00FD1EDF">
        <w:rPr>
          <w:sz w:val="24"/>
          <w:szCs w:val="28"/>
        </w:rPr>
        <w:t>0</w:t>
      </w:r>
      <w:r w:rsidR="0092078D" w:rsidRPr="00FD1EDF">
        <w:rPr>
          <w:sz w:val="24"/>
          <w:szCs w:val="28"/>
        </w:rPr>
        <w:t>%. Não foi registrada nenhuma manifestação do tipo elogio</w:t>
      </w:r>
      <w:r w:rsidR="008123FA" w:rsidRPr="00FD1EDF">
        <w:rPr>
          <w:sz w:val="24"/>
          <w:szCs w:val="28"/>
        </w:rPr>
        <w:t>.</w:t>
      </w:r>
    </w:p>
    <w:p w:rsidR="0092078D" w:rsidRPr="00FD1EDF" w:rsidRDefault="0092078D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92078D">
      <w:pPr>
        <w:pStyle w:val="PargrafodaLista"/>
        <w:spacing w:after="0" w:line="240" w:lineRule="auto"/>
        <w:ind w:left="0" w:firstLine="1134"/>
        <w:jc w:val="both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</w:t>
      </w:r>
      <w:r w:rsidR="00270145" w:rsidRPr="00427619">
        <w:rPr>
          <w:b/>
          <w:sz w:val="24"/>
          <w:szCs w:val="24"/>
        </w:rPr>
        <w:t xml:space="preserve">Quadro </w:t>
      </w:r>
      <w:r w:rsidR="009207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540"/>
      </w:tblGrid>
      <w:tr w:rsidR="00521B97" w:rsidRPr="00521B97" w:rsidTr="00521B97">
        <w:trPr>
          <w:trHeight w:val="330"/>
          <w:jc w:val="center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521B97" w:rsidRPr="00521B97" w:rsidTr="00521B97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521B97" w:rsidRPr="00521B97" w:rsidTr="00521B97">
        <w:trPr>
          <w:trHeight w:val="330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</w:tr>
      <w:tr w:rsidR="00521B97" w:rsidRPr="00521B97" w:rsidTr="00521B97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</w:tr>
      <w:tr w:rsidR="00521B97" w:rsidRPr="00521B97" w:rsidTr="00521B97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521B97" w:rsidRPr="00521B97" w:rsidTr="00521B97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</w:tr>
      <w:tr w:rsidR="00521B97" w:rsidRPr="00521B97" w:rsidTr="00521B97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  <w:tr w:rsidR="00521B97" w:rsidRPr="00521B97" w:rsidTr="00521B97">
        <w:trPr>
          <w:trHeight w:val="315"/>
          <w:jc w:val="center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21B97" w:rsidRPr="00521B97" w:rsidRDefault="00521B97" w:rsidP="0052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21B9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67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 </w:t>
      </w:r>
      <w:r w:rsidR="0092078D">
        <w:rPr>
          <w:sz w:val="20"/>
          <w:szCs w:val="20"/>
        </w:rPr>
        <w:t xml:space="preserve">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92078D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Pr="006557A3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0B4944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CFF75AA" wp14:editId="33864A09">
            <wp:extent cx="4854102" cy="3608962"/>
            <wp:effectExtent l="0" t="0" r="2286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 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811771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2D40B7" w:rsidRPr="00085547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547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DC0D31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Pr="00FD1EDF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 w:rsidRPr="00FD1EDF">
        <w:rPr>
          <w:sz w:val="24"/>
          <w:szCs w:val="28"/>
        </w:rPr>
        <w:t>O telefone ainda é o canal de preferência do cidad</w:t>
      </w:r>
      <w:r w:rsidR="00143CBA" w:rsidRPr="00FD1EDF">
        <w:rPr>
          <w:sz w:val="24"/>
          <w:szCs w:val="28"/>
        </w:rPr>
        <w:t>ão-usuário dos serviços de ouvidoria, representando o meio utilizado para registrar</w:t>
      </w:r>
      <w:r w:rsidR="00CB7848" w:rsidRPr="00FD1EDF">
        <w:rPr>
          <w:sz w:val="24"/>
          <w:szCs w:val="28"/>
        </w:rPr>
        <w:t>, aproximadamente,</w:t>
      </w:r>
      <w:r w:rsidR="00143CBA" w:rsidRPr="00FD1EDF">
        <w:rPr>
          <w:sz w:val="24"/>
          <w:szCs w:val="28"/>
        </w:rPr>
        <w:t xml:space="preserve"> </w:t>
      </w:r>
      <w:r w:rsidR="000B4944">
        <w:rPr>
          <w:sz w:val="24"/>
          <w:szCs w:val="28"/>
        </w:rPr>
        <w:t>59</w:t>
      </w:r>
      <w:r w:rsidR="00143CBA" w:rsidRPr="00FD1EDF">
        <w:rPr>
          <w:sz w:val="24"/>
          <w:szCs w:val="28"/>
        </w:rPr>
        <w:t>% do total de acionamentos.</w:t>
      </w:r>
      <w:r w:rsidR="00CB7848" w:rsidRPr="00FD1EDF">
        <w:rPr>
          <w:sz w:val="24"/>
          <w:szCs w:val="28"/>
        </w:rPr>
        <w:t xml:space="preserve"> Outros </w:t>
      </w:r>
      <w:r w:rsidR="000B4944">
        <w:rPr>
          <w:sz w:val="24"/>
          <w:szCs w:val="28"/>
        </w:rPr>
        <w:t>3</w:t>
      </w:r>
      <w:r w:rsidR="00FD1EDF" w:rsidRPr="00FD1EDF">
        <w:rPr>
          <w:sz w:val="24"/>
          <w:szCs w:val="28"/>
        </w:rPr>
        <w:t>3</w:t>
      </w:r>
      <w:r w:rsidR="00CB7848" w:rsidRPr="00FD1EDF">
        <w:rPr>
          <w:sz w:val="24"/>
          <w:szCs w:val="28"/>
        </w:rPr>
        <w:t xml:space="preserve">% chegaram à OGE por meio do </w:t>
      </w:r>
      <w:r w:rsidR="00CB7848" w:rsidRPr="00FD1EDF">
        <w:rPr>
          <w:i/>
          <w:sz w:val="24"/>
          <w:szCs w:val="28"/>
        </w:rPr>
        <w:t xml:space="preserve">site </w:t>
      </w:r>
      <w:r w:rsidR="00CB7848" w:rsidRPr="00FD1EDF">
        <w:rPr>
          <w:sz w:val="24"/>
          <w:szCs w:val="28"/>
        </w:rPr>
        <w:t>da Ouvidoria.</w:t>
      </w: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B78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981"/>
      </w:tblGrid>
      <w:tr w:rsidR="000B4944" w:rsidRPr="000B4944" w:rsidTr="000B4944">
        <w:trPr>
          <w:trHeight w:val="315"/>
          <w:jc w:val="center"/>
        </w:trPr>
        <w:tc>
          <w:tcPr>
            <w:tcW w:w="3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0B4944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3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22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2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40</w:t>
            </w:r>
          </w:p>
        </w:tc>
      </w:tr>
      <w:tr w:rsidR="000B4944" w:rsidRPr="000B4944" w:rsidTr="000B4944">
        <w:trPr>
          <w:trHeight w:val="315"/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lang w:eastAsia="pt-BR"/>
              </w:rPr>
              <w:t>67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</w:t>
      </w:r>
      <w:r w:rsidR="00FD1EDF">
        <w:rPr>
          <w:sz w:val="18"/>
          <w:szCs w:val="28"/>
        </w:rPr>
        <w:t xml:space="preserve">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EC45DC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143CBA" w:rsidRDefault="00143CBA" w:rsidP="00143CBA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CBA">
        <w:rPr>
          <w:b/>
          <w:i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143CBA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CB7848" w:rsidRPr="00DF73ED" w:rsidRDefault="00CB7848" w:rsidP="00CB7848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Fechada no prazo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 dentro do prazo estipulado</w:t>
      </w:r>
      <w:r w:rsidRPr="00DF73ED">
        <w:rPr>
          <w:sz w:val="24"/>
          <w:szCs w:val="24"/>
        </w:rPr>
        <w:t>;</w:t>
      </w:r>
    </w:p>
    <w:p w:rsidR="00CB7848" w:rsidRDefault="00CB7848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Fechada em atraso – manifestação que apesar de já terem sido respondidas ao cidadão, o retorno foi dado após a expiração do prazo definido em instrumento legal;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</w:t>
      </w:r>
      <w:r w:rsidR="00C411BB">
        <w:rPr>
          <w:sz w:val="24"/>
          <w:szCs w:val="28"/>
        </w:rPr>
        <w:t>3</w:t>
      </w:r>
      <w:r>
        <w:rPr>
          <w:sz w:val="24"/>
          <w:szCs w:val="28"/>
        </w:rPr>
        <w:t xml:space="preserve"> e no gráfico</w:t>
      </w:r>
      <w:r w:rsidR="00EA0028">
        <w:rPr>
          <w:sz w:val="24"/>
          <w:szCs w:val="28"/>
        </w:rPr>
        <w:t xml:space="preserve"> 2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FD1EDF">
        <w:rPr>
          <w:sz w:val="24"/>
          <w:szCs w:val="28"/>
        </w:rPr>
        <w:t>2</w:t>
      </w:r>
      <w:r w:rsidR="000B4944">
        <w:rPr>
          <w:sz w:val="24"/>
          <w:szCs w:val="28"/>
        </w:rPr>
        <w:t>5</w:t>
      </w:r>
      <w:r w:rsidR="00143CBA">
        <w:rPr>
          <w:sz w:val="24"/>
          <w:szCs w:val="28"/>
        </w:rPr>
        <w:t xml:space="preserve"> de </w:t>
      </w:r>
      <w:r w:rsidR="00E671C1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BF1DDA" w:rsidRPr="00851AC4" w:rsidRDefault="00230DB7" w:rsidP="00DA0AE6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 w:rsidRPr="00851AC4">
        <w:rPr>
          <w:sz w:val="24"/>
          <w:szCs w:val="28"/>
        </w:rPr>
        <w:t>Na fase e</w:t>
      </w:r>
      <w:r w:rsidR="000E2965" w:rsidRPr="00851AC4">
        <w:rPr>
          <w:sz w:val="24"/>
          <w:szCs w:val="28"/>
        </w:rPr>
        <w:t xml:space="preserve">m que os dados foram levantados, a situação </w:t>
      </w:r>
      <w:r w:rsidRPr="00851AC4">
        <w:rPr>
          <w:sz w:val="24"/>
          <w:szCs w:val="28"/>
        </w:rPr>
        <w:t xml:space="preserve">mostrou </w:t>
      </w:r>
      <w:r w:rsidR="0002470D" w:rsidRPr="00851AC4">
        <w:rPr>
          <w:sz w:val="24"/>
          <w:szCs w:val="28"/>
        </w:rPr>
        <w:t>que</w:t>
      </w:r>
      <w:r w:rsidR="00C411BB" w:rsidRPr="00851AC4">
        <w:rPr>
          <w:sz w:val="24"/>
          <w:szCs w:val="28"/>
        </w:rPr>
        <w:t xml:space="preserve"> todas as </w:t>
      </w:r>
      <w:r w:rsidR="000E2965" w:rsidRPr="00851AC4">
        <w:rPr>
          <w:sz w:val="24"/>
          <w:szCs w:val="28"/>
        </w:rPr>
        <w:t xml:space="preserve">manifestações </w:t>
      </w:r>
      <w:r w:rsidRPr="00851AC4">
        <w:rPr>
          <w:sz w:val="24"/>
          <w:szCs w:val="28"/>
        </w:rPr>
        <w:t xml:space="preserve">foram </w:t>
      </w:r>
      <w:r w:rsidR="000E2965" w:rsidRPr="00851AC4">
        <w:rPr>
          <w:sz w:val="24"/>
          <w:szCs w:val="28"/>
        </w:rPr>
        <w:t xml:space="preserve">respondidas ao cidadão. </w:t>
      </w:r>
      <w:r w:rsidR="000A5D6C" w:rsidRPr="00851AC4">
        <w:rPr>
          <w:sz w:val="24"/>
          <w:szCs w:val="28"/>
        </w:rPr>
        <w:t xml:space="preserve">Como </w:t>
      </w:r>
      <w:r w:rsidR="00DA0AE6" w:rsidRPr="00851AC4">
        <w:rPr>
          <w:sz w:val="24"/>
          <w:szCs w:val="28"/>
        </w:rPr>
        <w:t>se verifica</w:t>
      </w:r>
      <w:r w:rsidR="000A5D6C" w:rsidRPr="00851AC4">
        <w:rPr>
          <w:sz w:val="24"/>
          <w:szCs w:val="28"/>
        </w:rPr>
        <w:t xml:space="preserve"> </w:t>
      </w:r>
      <w:r w:rsidR="00C411BB" w:rsidRPr="00851AC4">
        <w:rPr>
          <w:sz w:val="24"/>
          <w:szCs w:val="28"/>
        </w:rPr>
        <w:t>no gráfico 2, 2</w:t>
      </w:r>
      <w:r w:rsidR="00E427DC">
        <w:rPr>
          <w:sz w:val="24"/>
          <w:szCs w:val="28"/>
        </w:rPr>
        <w:t>0</w:t>
      </w:r>
      <w:r w:rsidR="00C411BB" w:rsidRPr="00851AC4">
        <w:rPr>
          <w:sz w:val="24"/>
          <w:szCs w:val="28"/>
        </w:rPr>
        <w:t xml:space="preserve"> (</w:t>
      </w:r>
      <w:r w:rsidR="00E427DC">
        <w:rPr>
          <w:sz w:val="24"/>
          <w:szCs w:val="28"/>
        </w:rPr>
        <w:t>vinte</w:t>
      </w:r>
      <w:r w:rsidR="00C411BB" w:rsidRPr="00851AC4">
        <w:rPr>
          <w:sz w:val="24"/>
          <w:szCs w:val="28"/>
        </w:rPr>
        <w:t xml:space="preserve">) demandas foram respondidas ao cidadão fora do prazo estabelecido na IN Nº 03, de 16 de julho de 2014. Analisando os dados dos quadros 1 e 3, percebe-se que </w:t>
      </w:r>
      <w:r w:rsidR="00E427DC">
        <w:rPr>
          <w:sz w:val="24"/>
          <w:szCs w:val="28"/>
        </w:rPr>
        <w:t>33</w:t>
      </w:r>
      <w:r w:rsidR="0024256B" w:rsidRPr="00851AC4">
        <w:rPr>
          <w:sz w:val="24"/>
          <w:szCs w:val="28"/>
        </w:rPr>
        <w:t xml:space="preserve"> (</w:t>
      </w:r>
      <w:r w:rsidR="00E427DC">
        <w:rPr>
          <w:sz w:val="24"/>
          <w:szCs w:val="28"/>
        </w:rPr>
        <w:t>trinta e três</w:t>
      </w:r>
      <w:r w:rsidR="00C411BB" w:rsidRPr="00851AC4">
        <w:rPr>
          <w:sz w:val="24"/>
          <w:szCs w:val="28"/>
        </w:rPr>
        <w:t xml:space="preserve">) acionamentos do total de </w:t>
      </w:r>
      <w:r w:rsidR="00E427DC">
        <w:rPr>
          <w:sz w:val="24"/>
          <w:szCs w:val="28"/>
        </w:rPr>
        <w:t xml:space="preserve">47 </w:t>
      </w:r>
      <w:r w:rsidR="00C411BB" w:rsidRPr="00851AC4">
        <w:rPr>
          <w:sz w:val="24"/>
          <w:szCs w:val="28"/>
        </w:rPr>
        <w:t>(</w:t>
      </w:r>
      <w:r w:rsidR="00E427DC">
        <w:rPr>
          <w:sz w:val="24"/>
          <w:szCs w:val="28"/>
        </w:rPr>
        <w:t>quarenta e sete</w:t>
      </w:r>
      <w:r w:rsidR="00C411BB" w:rsidRPr="00851AC4">
        <w:rPr>
          <w:sz w:val="24"/>
          <w:szCs w:val="28"/>
        </w:rPr>
        <w:t>) que foram respondidas no prazo, não</w:t>
      </w:r>
      <w:r w:rsidR="00E427DC">
        <w:rPr>
          <w:sz w:val="24"/>
          <w:szCs w:val="28"/>
        </w:rPr>
        <w:t xml:space="preserve"> chegaram a ser direcionadas à Secretaria</w:t>
      </w:r>
      <w:r w:rsidR="00C411BB" w:rsidRPr="00851AC4">
        <w:rPr>
          <w:sz w:val="24"/>
          <w:szCs w:val="28"/>
        </w:rPr>
        <w:t xml:space="preserve"> por se tratar de </w:t>
      </w:r>
      <w:r w:rsidR="00DA0AE6" w:rsidRPr="00851AC4">
        <w:rPr>
          <w:sz w:val="24"/>
          <w:szCs w:val="28"/>
        </w:rPr>
        <w:t xml:space="preserve">acionamento que não gera demanda. </w:t>
      </w:r>
      <w:r w:rsidR="00BF1DDA" w:rsidRPr="00851AC4">
        <w:rPr>
          <w:sz w:val="24"/>
          <w:szCs w:val="28"/>
        </w:rPr>
        <w:t xml:space="preserve">Assim, a </w:t>
      </w:r>
      <w:r w:rsidR="00E427DC">
        <w:rPr>
          <w:sz w:val="24"/>
          <w:szCs w:val="28"/>
        </w:rPr>
        <w:t>SECAD</w:t>
      </w:r>
      <w:r w:rsidR="00BF1DDA" w:rsidRPr="00851AC4">
        <w:rPr>
          <w:sz w:val="24"/>
          <w:szCs w:val="28"/>
        </w:rPr>
        <w:t xml:space="preserve"> respondeu apenas </w:t>
      </w:r>
      <w:r w:rsidR="00E427DC">
        <w:rPr>
          <w:sz w:val="24"/>
          <w:szCs w:val="28"/>
        </w:rPr>
        <w:t>14</w:t>
      </w:r>
      <w:r w:rsidR="00BF1DDA" w:rsidRPr="00851AC4">
        <w:rPr>
          <w:sz w:val="24"/>
          <w:szCs w:val="28"/>
        </w:rPr>
        <w:t xml:space="preserve"> (</w:t>
      </w:r>
      <w:r w:rsidR="00E427DC">
        <w:rPr>
          <w:sz w:val="24"/>
          <w:szCs w:val="28"/>
        </w:rPr>
        <w:t>quatorze</w:t>
      </w:r>
      <w:r w:rsidR="00BF1DDA" w:rsidRPr="00851AC4">
        <w:rPr>
          <w:sz w:val="24"/>
          <w:szCs w:val="28"/>
        </w:rPr>
        <w:t xml:space="preserve">) manifestações no prazo regulamentado. </w:t>
      </w:r>
      <w:r w:rsidR="00E427DC">
        <w:rPr>
          <w:sz w:val="24"/>
          <w:szCs w:val="28"/>
        </w:rPr>
        <w:t>Vale ressaltar que 11 (onze) delas foram respondidas no prazo de sobrestamento.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EC45DC">
        <w:rPr>
          <w:sz w:val="18"/>
          <w:szCs w:val="24"/>
        </w:rPr>
        <w:t xml:space="preserve">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411BB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4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932"/>
      </w:tblGrid>
      <w:tr w:rsidR="000B4944" w:rsidRPr="000B4944" w:rsidTr="000B4944">
        <w:trPr>
          <w:trHeight w:val="300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47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0B4944" w:rsidRPr="000B4944" w:rsidTr="000B4944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B4944" w:rsidRPr="000B4944" w:rsidRDefault="000B4944" w:rsidP="000B4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B494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67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EC45DC">
        <w:rPr>
          <w:sz w:val="20"/>
          <w:szCs w:val="20"/>
        </w:rPr>
        <w:t xml:space="preserve">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DA0AE6" w:rsidRDefault="00DA0AE6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DA0AE6" w:rsidRDefault="00DA0AE6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927B61" w:rsidRDefault="00927B61" w:rsidP="00927B6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A108D" w:rsidRPr="00927B61">
        <w:rPr>
          <w:b/>
          <w:sz w:val="24"/>
          <w:szCs w:val="24"/>
        </w:rPr>
        <w:t xml:space="preserve">Gráfico </w:t>
      </w:r>
      <w:r w:rsidR="00EA0028" w:rsidRPr="00927B61">
        <w:rPr>
          <w:b/>
          <w:sz w:val="24"/>
          <w:szCs w:val="24"/>
        </w:rPr>
        <w:t>2</w:t>
      </w:r>
      <w:r w:rsidR="00AA108D" w:rsidRPr="00927B61">
        <w:rPr>
          <w:b/>
          <w:sz w:val="24"/>
          <w:szCs w:val="24"/>
        </w:rPr>
        <w:t xml:space="preserve"> – </w:t>
      </w:r>
      <w:r w:rsidR="00AA108D" w:rsidRPr="00927B61">
        <w:rPr>
          <w:b/>
          <w:i/>
          <w:sz w:val="24"/>
          <w:szCs w:val="24"/>
        </w:rPr>
        <w:t>Status</w:t>
      </w:r>
      <w:r w:rsidR="002A0985" w:rsidRPr="00927B61">
        <w:rPr>
          <w:b/>
          <w:sz w:val="24"/>
          <w:szCs w:val="24"/>
        </w:rPr>
        <w:t xml:space="preserve"> das M</w:t>
      </w:r>
      <w:r w:rsidR="00AA108D" w:rsidRPr="00927B61">
        <w:rPr>
          <w:b/>
          <w:sz w:val="24"/>
          <w:szCs w:val="24"/>
        </w:rPr>
        <w:t>anifestações</w:t>
      </w:r>
    </w:p>
    <w:p w:rsidR="00AA108D" w:rsidRDefault="00E427DC" w:rsidP="00927B61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5EE30DD2" wp14:editId="652F8063">
            <wp:extent cx="5282119" cy="3978613"/>
            <wp:effectExtent l="0" t="0" r="13970" b="222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</w:t>
      </w:r>
      <w:r>
        <w:rPr>
          <w:sz w:val="20"/>
          <w:szCs w:val="20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16B6A" w:rsidRDefault="00216B6A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4256B" w:rsidRPr="00C15C7F" w:rsidRDefault="00C15C7F" w:rsidP="00C15C7F">
      <w:pPr>
        <w:pStyle w:val="PargrafodaLista"/>
        <w:numPr>
          <w:ilvl w:val="0"/>
          <w:numId w:val="31"/>
        </w:numPr>
        <w:tabs>
          <w:tab w:val="left" w:pos="6521"/>
        </w:tabs>
        <w:ind w:left="4395" w:hanging="426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Principais assuntos </w:t>
      </w:r>
      <w:r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emandados</w:t>
      </w: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C15C7F" w:rsidRPr="00656723" w:rsidRDefault="00C15C7F" w:rsidP="00772D91">
      <w:pPr>
        <w:spacing w:line="360" w:lineRule="auto"/>
        <w:ind w:firstLine="1134"/>
        <w:jc w:val="both"/>
        <w:rPr>
          <w:sz w:val="24"/>
          <w:szCs w:val="28"/>
        </w:rPr>
      </w:pPr>
      <w:r w:rsidRPr="00656723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952BAE" w:rsidRPr="00772D91" w:rsidRDefault="00656723" w:rsidP="00772D91">
      <w:pPr>
        <w:spacing w:line="360" w:lineRule="auto"/>
        <w:ind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>As manifestações do tipo acionamento que não gera demanda apresentaram como principa</w:t>
      </w:r>
      <w:r>
        <w:rPr>
          <w:sz w:val="24"/>
          <w:szCs w:val="28"/>
        </w:rPr>
        <w:t>l</w:t>
      </w:r>
      <w:r w:rsidRPr="009168F1">
        <w:rPr>
          <w:sz w:val="24"/>
          <w:szCs w:val="28"/>
        </w:rPr>
        <w:t xml:space="preserve"> assunto </w:t>
      </w:r>
      <w:r>
        <w:rPr>
          <w:sz w:val="24"/>
          <w:szCs w:val="28"/>
        </w:rPr>
        <w:t xml:space="preserve">o </w:t>
      </w:r>
      <w:r w:rsidRPr="009168F1">
        <w:rPr>
          <w:sz w:val="24"/>
          <w:szCs w:val="28"/>
        </w:rPr>
        <w:t xml:space="preserve">pedido de informação </w:t>
      </w:r>
      <w:r>
        <w:rPr>
          <w:sz w:val="24"/>
          <w:szCs w:val="28"/>
        </w:rPr>
        <w:t xml:space="preserve">sobre </w:t>
      </w:r>
      <w:r w:rsidRPr="009168F1">
        <w:rPr>
          <w:sz w:val="24"/>
          <w:szCs w:val="28"/>
        </w:rPr>
        <w:t>o contato telefônico da unidade</w:t>
      </w:r>
      <w:r>
        <w:rPr>
          <w:sz w:val="24"/>
          <w:szCs w:val="28"/>
        </w:rPr>
        <w:t xml:space="preserve"> e os serviços prestados pelo órgão</w:t>
      </w:r>
      <w:r w:rsidRPr="009168F1">
        <w:rPr>
          <w:sz w:val="24"/>
          <w:szCs w:val="28"/>
        </w:rPr>
        <w:t>.</w:t>
      </w:r>
      <w:r w:rsidR="00952BAE" w:rsidRPr="00772D91">
        <w:rPr>
          <w:sz w:val="24"/>
          <w:szCs w:val="28"/>
        </w:rPr>
        <w:t xml:space="preserve"> </w:t>
      </w:r>
    </w:p>
    <w:p w:rsidR="00C15C7F" w:rsidRPr="00772D91" w:rsidRDefault="00656723" w:rsidP="00772D91">
      <w:pPr>
        <w:spacing w:line="360" w:lineRule="auto"/>
        <w:ind w:firstLine="1134"/>
        <w:jc w:val="both"/>
        <w:rPr>
          <w:sz w:val="24"/>
          <w:szCs w:val="28"/>
        </w:rPr>
      </w:pPr>
      <w:r w:rsidRPr="00772D91">
        <w:rPr>
          <w:sz w:val="24"/>
          <w:szCs w:val="28"/>
        </w:rPr>
        <w:t xml:space="preserve">As denúncias </w:t>
      </w:r>
      <w:r w:rsidR="00952BAE" w:rsidRPr="00772D91">
        <w:rPr>
          <w:sz w:val="24"/>
          <w:szCs w:val="28"/>
        </w:rPr>
        <w:t xml:space="preserve">expressam problemas quanto </w:t>
      </w:r>
      <w:r w:rsidRPr="00772D91">
        <w:rPr>
          <w:sz w:val="24"/>
          <w:szCs w:val="28"/>
        </w:rPr>
        <w:t xml:space="preserve">ao concurso público realizado, à situação de servidores e ao Plano de Saúde do Estado. </w:t>
      </w:r>
      <w:r w:rsidR="007C2EA9" w:rsidRPr="00772D91">
        <w:rPr>
          <w:sz w:val="24"/>
          <w:szCs w:val="28"/>
        </w:rPr>
        <w:t xml:space="preserve">Já as reclamações, tiveram como foco </w:t>
      </w:r>
      <w:r w:rsidR="006828F4" w:rsidRPr="00772D91">
        <w:rPr>
          <w:sz w:val="24"/>
          <w:szCs w:val="28"/>
        </w:rPr>
        <w:t>o atendimento inadequado no setor da Junta Médica</w:t>
      </w:r>
      <w:r w:rsidR="00772D91" w:rsidRPr="00772D91">
        <w:rPr>
          <w:sz w:val="24"/>
          <w:szCs w:val="28"/>
        </w:rPr>
        <w:t xml:space="preserve"> e as nomeações dos aprovados no concurso público</w:t>
      </w:r>
      <w:r w:rsidR="007C2EA9" w:rsidRPr="00772D91">
        <w:rPr>
          <w:sz w:val="24"/>
          <w:szCs w:val="28"/>
        </w:rPr>
        <w:t>.</w:t>
      </w:r>
    </w:p>
    <w:p w:rsidR="00656723" w:rsidRDefault="00656723" w:rsidP="00772D91">
      <w:pPr>
        <w:spacing w:line="360" w:lineRule="auto"/>
        <w:ind w:firstLine="1134"/>
        <w:jc w:val="both"/>
        <w:rPr>
          <w:sz w:val="24"/>
          <w:szCs w:val="28"/>
        </w:rPr>
      </w:pPr>
    </w:p>
    <w:p w:rsidR="00952BAE" w:rsidRPr="00952BAE" w:rsidRDefault="00952BAE" w:rsidP="00656723">
      <w:pPr>
        <w:spacing w:after="0" w:line="240" w:lineRule="auto"/>
        <w:ind w:hanging="284"/>
        <w:jc w:val="both"/>
        <w:rPr>
          <w:b/>
          <w:sz w:val="24"/>
          <w:szCs w:val="28"/>
        </w:rPr>
      </w:pPr>
      <w:r w:rsidRPr="00952BAE">
        <w:rPr>
          <w:b/>
          <w:sz w:val="24"/>
          <w:szCs w:val="28"/>
        </w:rPr>
        <w:lastRenderedPageBreak/>
        <w:t>Quadro 4 – Principais assuntos</w:t>
      </w:r>
    </w:p>
    <w:tbl>
      <w:tblPr>
        <w:tblW w:w="10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140"/>
        <w:gridCol w:w="6340"/>
      </w:tblGrid>
      <w:tr w:rsidR="00656723" w:rsidRPr="00656723" w:rsidTr="00656723">
        <w:trPr>
          <w:trHeight w:val="315"/>
          <w:jc w:val="center"/>
        </w:trPr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PRINCIPAIS ASSUNTOS 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SUBASSUNTO</w:t>
            </w:r>
          </w:p>
        </w:tc>
      </w:tr>
      <w:tr w:rsidR="00656723" w:rsidRPr="00656723" w:rsidTr="00656723">
        <w:trPr>
          <w:trHeight w:val="345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Contato telefônico da unidade administrativa</w:t>
            </w:r>
          </w:p>
        </w:tc>
      </w:tr>
      <w:tr w:rsidR="00656723" w:rsidRPr="00656723" w:rsidTr="00656723">
        <w:trPr>
          <w:trHeight w:val="345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pelo órgão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Acúmulo de cargos indevidos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Irregularidades em concurso público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Irregularidades na emissão de documentos do Plansaúde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 na Junta Médica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Nomeação dos aprovados no concurso público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Procedimentos do Plansaúde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Desconto em folha</w:t>
            </w:r>
          </w:p>
        </w:tc>
      </w:tr>
      <w:tr w:rsidR="00656723" w:rsidRPr="00656723" w:rsidTr="00656723">
        <w:trPr>
          <w:trHeight w:val="300"/>
          <w:jc w:val="center"/>
        </w:trPr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23" w:rsidRPr="00656723" w:rsidRDefault="00656723" w:rsidP="00656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56723">
              <w:rPr>
                <w:rFonts w:ascii="Calibri" w:eastAsia="Times New Roman" w:hAnsi="Calibri" w:cs="Times New Roman"/>
                <w:color w:val="000000"/>
                <w:lang w:eastAsia="pt-BR"/>
              </w:rPr>
              <w:t>Falta de repasse do pagamento de consignado à instituição bancária</w:t>
            </w:r>
          </w:p>
        </w:tc>
      </w:tr>
    </w:tbl>
    <w:p w:rsidR="00927B61" w:rsidRPr="00656723" w:rsidRDefault="00656723" w:rsidP="00656723">
      <w:pPr>
        <w:ind w:hanging="284"/>
        <w:rPr>
          <w:sz w:val="20"/>
          <w:szCs w:val="28"/>
        </w:rPr>
      </w:pPr>
      <w:r w:rsidRPr="00656723">
        <w:rPr>
          <w:sz w:val="20"/>
          <w:szCs w:val="28"/>
        </w:rPr>
        <w:t>Fonte: SGO</w:t>
      </w:r>
    </w:p>
    <w:p w:rsidR="00470811" w:rsidRDefault="00470811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4256B" w:rsidRPr="0024256B" w:rsidRDefault="0024256B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4256B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Considerações finais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AD25E7" w:rsidRDefault="002C5AAD" w:rsidP="00860A18">
      <w:pPr>
        <w:spacing w:line="360" w:lineRule="auto"/>
        <w:ind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 xml:space="preserve">Com este relatório, a Ouvidoria Geral </w:t>
      </w:r>
      <w:r w:rsidR="00A000DE" w:rsidRPr="00BF1DDA">
        <w:rPr>
          <w:sz w:val="24"/>
          <w:szCs w:val="28"/>
        </w:rPr>
        <w:t>apresenta os dados</w:t>
      </w:r>
      <w:r w:rsidR="00AD25E7">
        <w:rPr>
          <w:sz w:val="24"/>
          <w:szCs w:val="28"/>
        </w:rPr>
        <w:t xml:space="preserve"> </w:t>
      </w:r>
      <w:r w:rsidR="00AD25E7" w:rsidRPr="00BF1DDA">
        <w:rPr>
          <w:sz w:val="24"/>
          <w:szCs w:val="28"/>
        </w:rPr>
        <w:t>registrados no primeiro semestre de 2014</w:t>
      </w:r>
      <w:r w:rsidR="00AD25E7">
        <w:rPr>
          <w:sz w:val="24"/>
          <w:szCs w:val="28"/>
        </w:rPr>
        <w:t xml:space="preserve">, </w:t>
      </w:r>
      <w:r w:rsidR="00A000DE" w:rsidRPr="00BF1DDA">
        <w:rPr>
          <w:sz w:val="24"/>
          <w:szCs w:val="28"/>
        </w:rPr>
        <w:t xml:space="preserve">referentes </w:t>
      </w:r>
      <w:r w:rsidR="00860A18">
        <w:rPr>
          <w:sz w:val="24"/>
          <w:szCs w:val="28"/>
        </w:rPr>
        <w:t>à</w:t>
      </w:r>
      <w:r w:rsidR="00A000DE" w:rsidRPr="00BF1DDA">
        <w:rPr>
          <w:sz w:val="24"/>
          <w:szCs w:val="28"/>
        </w:rPr>
        <w:t xml:space="preserve"> </w:t>
      </w:r>
      <w:r w:rsidR="00860A18">
        <w:rPr>
          <w:sz w:val="24"/>
          <w:szCs w:val="28"/>
        </w:rPr>
        <w:t>Secretaria da Administração</w:t>
      </w:r>
      <w:r w:rsidR="00AD25E7">
        <w:rPr>
          <w:sz w:val="24"/>
          <w:szCs w:val="28"/>
        </w:rPr>
        <w:t>.</w:t>
      </w:r>
    </w:p>
    <w:p w:rsidR="002C5AAD" w:rsidRDefault="00A000DE" w:rsidP="00860A18">
      <w:pPr>
        <w:spacing w:line="360" w:lineRule="auto"/>
        <w:ind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>C</w:t>
      </w:r>
      <w:r w:rsidR="002C5AAD" w:rsidRPr="00BF1DDA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BF1DDA">
        <w:rPr>
          <w:sz w:val="24"/>
          <w:szCs w:val="28"/>
        </w:rPr>
        <w:t xml:space="preserve">tua </w:t>
      </w:r>
      <w:r w:rsidR="002C5AAD" w:rsidRPr="00BF1DDA">
        <w:rPr>
          <w:sz w:val="24"/>
          <w:szCs w:val="28"/>
        </w:rPr>
        <w:t xml:space="preserve">atendendo a critérios regulados pela forma de padronização dos atendimentos e </w:t>
      </w:r>
      <w:r w:rsidRPr="00BF1DDA">
        <w:rPr>
          <w:sz w:val="24"/>
          <w:szCs w:val="28"/>
        </w:rPr>
        <w:t>equivalência dos dados registrados no SGO, sistema desenvolvido pela Coordenação de Operação e Serviços de Informática da OGE</w:t>
      </w:r>
      <w:r w:rsidR="00BF1DDA">
        <w:rPr>
          <w:sz w:val="24"/>
          <w:szCs w:val="28"/>
        </w:rPr>
        <w:t>.</w:t>
      </w:r>
      <w:r w:rsidRPr="00BF1DDA">
        <w:rPr>
          <w:sz w:val="24"/>
          <w:szCs w:val="28"/>
        </w:rPr>
        <w:t xml:space="preserve"> </w:t>
      </w:r>
    </w:p>
    <w:p w:rsidR="00BF1DDA" w:rsidRPr="00BF1DDA" w:rsidRDefault="00BF1DDA" w:rsidP="00860A1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É importante que as demandas encaminhadas à entidade para averiguação e resposta à OGE sejam atendidas em tempo hábil, para que possamos </w:t>
      </w:r>
      <w:r w:rsidR="00AD25E7">
        <w:rPr>
          <w:sz w:val="24"/>
          <w:szCs w:val="28"/>
        </w:rPr>
        <w:t>garantir que a população seja atendida com eficiência e o Poder Público garanta a credibilidade dos seus serviços.</w:t>
      </w:r>
    </w:p>
    <w:p w:rsidR="00AD25E7" w:rsidRDefault="00AD25E7" w:rsidP="00860A18">
      <w:pPr>
        <w:spacing w:line="360" w:lineRule="auto"/>
        <w:ind w:firstLine="1134"/>
        <w:jc w:val="both"/>
        <w:rPr>
          <w:sz w:val="24"/>
          <w:szCs w:val="28"/>
        </w:rPr>
      </w:pPr>
      <w:r w:rsidRPr="00AD25E7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8D2E0C" w:rsidRDefault="002E5AA0" w:rsidP="00860A18">
      <w:pPr>
        <w:pStyle w:val="PargrafodaLista"/>
        <w:spacing w:after="0" w:line="360" w:lineRule="auto"/>
        <w:ind w:left="0" w:firstLine="851"/>
        <w:jc w:val="right"/>
        <w:rPr>
          <w:b/>
        </w:rPr>
      </w:pPr>
      <w:r w:rsidRPr="007C2EA9">
        <w:t xml:space="preserve">Palmas, </w:t>
      </w:r>
      <w:r w:rsidR="00860A18">
        <w:t>30</w:t>
      </w:r>
      <w:r w:rsidR="00F37C46" w:rsidRPr="007C2EA9">
        <w:t xml:space="preserve"> de </w:t>
      </w:r>
      <w:r w:rsidR="000B752C">
        <w:t>setembro</w:t>
      </w:r>
      <w:r w:rsidRPr="007C2EA9">
        <w:t xml:space="preserve"> de 2014</w:t>
      </w:r>
      <w:r w:rsidR="005A1A57" w:rsidRPr="007C2EA9">
        <w:t>.</w:t>
      </w: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E1" w:rsidRDefault="008E72E1" w:rsidP="00BA0053">
      <w:pPr>
        <w:spacing w:after="0" w:line="240" w:lineRule="auto"/>
      </w:pPr>
      <w:r>
        <w:separator/>
      </w:r>
    </w:p>
  </w:endnote>
  <w:endnote w:type="continuationSeparator" w:id="0">
    <w:p w:rsidR="008E72E1" w:rsidRDefault="008E72E1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E1" w:rsidRDefault="008E72E1" w:rsidP="00BA0053">
      <w:pPr>
        <w:spacing w:after="0" w:line="240" w:lineRule="auto"/>
      </w:pPr>
      <w:r>
        <w:separator/>
      </w:r>
    </w:p>
  </w:footnote>
  <w:footnote w:type="continuationSeparator" w:id="0">
    <w:p w:rsidR="008E72E1" w:rsidRDefault="008E72E1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87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290982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BF1DDA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BF1DDA">
                <w:rPr>
                  <w:b/>
                  <w:bCs/>
                </w:rPr>
                <w:t xml:space="preserve"> - </w:t>
              </w:r>
              <w:r w:rsidR="00290982">
                <w:rPr>
                  <w:b/>
                  <w:bCs/>
                </w:rPr>
                <w:t>SECAD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640F3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19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2"/>
  </w:num>
  <w:num w:numId="27">
    <w:abstractNumId w:val="15"/>
  </w:num>
  <w:num w:numId="28">
    <w:abstractNumId w:val="2"/>
  </w:num>
  <w:num w:numId="29">
    <w:abstractNumId w:val="29"/>
  </w:num>
  <w:num w:numId="30">
    <w:abstractNumId w:val="3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3810"/>
    <w:rsid w:val="000A59C7"/>
    <w:rsid w:val="000A5D6C"/>
    <w:rsid w:val="000B0FA5"/>
    <w:rsid w:val="000B2C0C"/>
    <w:rsid w:val="000B4944"/>
    <w:rsid w:val="000B6DE3"/>
    <w:rsid w:val="000B752C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76D8F"/>
    <w:rsid w:val="001809AD"/>
    <w:rsid w:val="00191944"/>
    <w:rsid w:val="0019271E"/>
    <w:rsid w:val="00197B6D"/>
    <w:rsid w:val="001A7E42"/>
    <w:rsid w:val="001B0118"/>
    <w:rsid w:val="001B24F2"/>
    <w:rsid w:val="001B4102"/>
    <w:rsid w:val="001B5BEF"/>
    <w:rsid w:val="001B5F10"/>
    <w:rsid w:val="001B7E35"/>
    <w:rsid w:val="001C1762"/>
    <w:rsid w:val="001C1F20"/>
    <w:rsid w:val="001C3C9F"/>
    <w:rsid w:val="001C4996"/>
    <w:rsid w:val="001C5EBB"/>
    <w:rsid w:val="001C6DD8"/>
    <w:rsid w:val="001D3CAF"/>
    <w:rsid w:val="001D4216"/>
    <w:rsid w:val="001D5863"/>
    <w:rsid w:val="001E0C2D"/>
    <w:rsid w:val="001E5D72"/>
    <w:rsid w:val="001E6253"/>
    <w:rsid w:val="001E7645"/>
    <w:rsid w:val="001E7874"/>
    <w:rsid w:val="001F2805"/>
    <w:rsid w:val="001F2C64"/>
    <w:rsid w:val="001F2F4D"/>
    <w:rsid w:val="001F4C0E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4817"/>
    <w:rsid w:val="00235439"/>
    <w:rsid w:val="0024256B"/>
    <w:rsid w:val="002429AD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0982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B2F8A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34F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1F67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140D"/>
    <w:rsid w:val="003C52B3"/>
    <w:rsid w:val="003C5799"/>
    <w:rsid w:val="003C5834"/>
    <w:rsid w:val="003C5C92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69D5"/>
    <w:rsid w:val="00427619"/>
    <w:rsid w:val="00436B9D"/>
    <w:rsid w:val="0044289D"/>
    <w:rsid w:val="0044327E"/>
    <w:rsid w:val="0044544F"/>
    <w:rsid w:val="00445B9A"/>
    <w:rsid w:val="004514F3"/>
    <w:rsid w:val="00453734"/>
    <w:rsid w:val="00456FB8"/>
    <w:rsid w:val="00457671"/>
    <w:rsid w:val="004609CE"/>
    <w:rsid w:val="00461988"/>
    <w:rsid w:val="00461A24"/>
    <w:rsid w:val="00470811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E349B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1B97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55BD0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368A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7095"/>
    <w:rsid w:val="00630DC5"/>
    <w:rsid w:val="00632881"/>
    <w:rsid w:val="00634065"/>
    <w:rsid w:val="006350A2"/>
    <w:rsid w:val="00640263"/>
    <w:rsid w:val="00640D2B"/>
    <w:rsid w:val="006422B5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723"/>
    <w:rsid w:val="006569B6"/>
    <w:rsid w:val="00656C05"/>
    <w:rsid w:val="006578A4"/>
    <w:rsid w:val="006636F6"/>
    <w:rsid w:val="00663E35"/>
    <w:rsid w:val="0066544B"/>
    <w:rsid w:val="006718F9"/>
    <w:rsid w:val="00672CD5"/>
    <w:rsid w:val="0067373B"/>
    <w:rsid w:val="006747F8"/>
    <w:rsid w:val="0067505F"/>
    <w:rsid w:val="006761E5"/>
    <w:rsid w:val="00680192"/>
    <w:rsid w:val="006828F4"/>
    <w:rsid w:val="00685B9F"/>
    <w:rsid w:val="00692A72"/>
    <w:rsid w:val="00693F02"/>
    <w:rsid w:val="006A6649"/>
    <w:rsid w:val="006B566D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2D91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C2EA9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075B7"/>
    <w:rsid w:val="008105B6"/>
    <w:rsid w:val="00811771"/>
    <w:rsid w:val="008123FA"/>
    <w:rsid w:val="00817D8A"/>
    <w:rsid w:val="0082120D"/>
    <w:rsid w:val="00825F5E"/>
    <w:rsid w:val="008261A1"/>
    <w:rsid w:val="008310E6"/>
    <w:rsid w:val="00831247"/>
    <w:rsid w:val="008330BB"/>
    <w:rsid w:val="00840924"/>
    <w:rsid w:val="00841C5C"/>
    <w:rsid w:val="008445F4"/>
    <w:rsid w:val="008458B4"/>
    <w:rsid w:val="00847D42"/>
    <w:rsid w:val="00851AC4"/>
    <w:rsid w:val="00852086"/>
    <w:rsid w:val="0085230C"/>
    <w:rsid w:val="00852FE8"/>
    <w:rsid w:val="00854336"/>
    <w:rsid w:val="008559F4"/>
    <w:rsid w:val="00857A35"/>
    <w:rsid w:val="00860595"/>
    <w:rsid w:val="00860A18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08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AC"/>
    <w:rsid w:val="008C6AC5"/>
    <w:rsid w:val="008D017C"/>
    <w:rsid w:val="008D2E0C"/>
    <w:rsid w:val="008D7CE2"/>
    <w:rsid w:val="008E43CB"/>
    <w:rsid w:val="008E581D"/>
    <w:rsid w:val="008E72E1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17E2A"/>
    <w:rsid w:val="009201C0"/>
    <w:rsid w:val="0092078D"/>
    <w:rsid w:val="00920DF6"/>
    <w:rsid w:val="00926C92"/>
    <w:rsid w:val="00927B61"/>
    <w:rsid w:val="009318BE"/>
    <w:rsid w:val="00931AC5"/>
    <w:rsid w:val="009340F7"/>
    <w:rsid w:val="0094430E"/>
    <w:rsid w:val="009459E0"/>
    <w:rsid w:val="00946154"/>
    <w:rsid w:val="00952084"/>
    <w:rsid w:val="00952194"/>
    <w:rsid w:val="00952BAE"/>
    <w:rsid w:val="009539FA"/>
    <w:rsid w:val="00956551"/>
    <w:rsid w:val="009627DB"/>
    <w:rsid w:val="00963C05"/>
    <w:rsid w:val="00963C95"/>
    <w:rsid w:val="009640F3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F42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B79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25E7"/>
    <w:rsid w:val="00AD3745"/>
    <w:rsid w:val="00AE130F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62877"/>
    <w:rsid w:val="00B70513"/>
    <w:rsid w:val="00B70C32"/>
    <w:rsid w:val="00B71C77"/>
    <w:rsid w:val="00B71E4F"/>
    <w:rsid w:val="00B757C2"/>
    <w:rsid w:val="00B84F6B"/>
    <w:rsid w:val="00B85792"/>
    <w:rsid w:val="00B858D5"/>
    <w:rsid w:val="00B85F3C"/>
    <w:rsid w:val="00B87D27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1DDA"/>
    <w:rsid w:val="00BF3657"/>
    <w:rsid w:val="00BF7998"/>
    <w:rsid w:val="00C01E90"/>
    <w:rsid w:val="00C02731"/>
    <w:rsid w:val="00C05C6D"/>
    <w:rsid w:val="00C060E4"/>
    <w:rsid w:val="00C1204E"/>
    <w:rsid w:val="00C157C3"/>
    <w:rsid w:val="00C15C7F"/>
    <w:rsid w:val="00C16979"/>
    <w:rsid w:val="00C173D2"/>
    <w:rsid w:val="00C17826"/>
    <w:rsid w:val="00C20CE2"/>
    <w:rsid w:val="00C27234"/>
    <w:rsid w:val="00C309A0"/>
    <w:rsid w:val="00C30E0A"/>
    <w:rsid w:val="00C32AC0"/>
    <w:rsid w:val="00C37659"/>
    <w:rsid w:val="00C411BB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5FC"/>
    <w:rsid w:val="00CA1B87"/>
    <w:rsid w:val="00CA2D81"/>
    <w:rsid w:val="00CA53C0"/>
    <w:rsid w:val="00CA635D"/>
    <w:rsid w:val="00CA6654"/>
    <w:rsid w:val="00CB0307"/>
    <w:rsid w:val="00CB7848"/>
    <w:rsid w:val="00CC0A66"/>
    <w:rsid w:val="00CC0B98"/>
    <w:rsid w:val="00CC6FB2"/>
    <w:rsid w:val="00CD202F"/>
    <w:rsid w:val="00CD49DF"/>
    <w:rsid w:val="00CD623C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9E9"/>
    <w:rsid w:val="00D46D3D"/>
    <w:rsid w:val="00D53661"/>
    <w:rsid w:val="00D54929"/>
    <w:rsid w:val="00D642B3"/>
    <w:rsid w:val="00D64A4C"/>
    <w:rsid w:val="00D65067"/>
    <w:rsid w:val="00D704F0"/>
    <w:rsid w:val="00D70562"/>
    <w:rsid w:val="00D72F11"/>
    <w:rsid w:val="00D82164"/>
    <w:rsid w:val="00D827E7"/>
    <w:rsid w:val="00D82C5E"/>
    <w:rsid w:val="00D841E6"/>
    <w:rsid w:val="00D85B56"/>
    <w:rsid w:val="00D86B4A"/>
    <w:rsid w:val="00D874CC"/>
    <w:rsid w:val="00D90222"/>
    <w:rsid w:val="00D94F72"/>
    <w:rsid w:val="00D96394"/>
    <w:rsid w:val="00D974A7"/>
    <w:rsid w:val="00DA05D2"/>
    <w:rsid w:val="00DA0AE6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0D31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466E"/>
    <w:rsid w:val="00DE4C36"/>
    <w:rsid w:val="00DF0682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278AE"/>
    <w:rsid w:val="00E34214"/>
    <w:rsid w:val="00E34E11"/>
    <w:rsid w:val="00E34E85"/>
    <w:rsid w:val="00E35C03"/>
    <w:rsid w:val="00E374F6"/>
    <w:rsid w:val="00E400AE"/>
    <w:rsid w:val="00E427DC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1C1"/>
    <w:rsid w:val="00E675C1"/>
    <w:rsid w:val="00E74677"/>
    <w:rsid w:val="00E75610"/>
    <w:rsid w:val="00E76E99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94A"/>
    <w:rsid w:val="00EB5A51"/>
    <w:rsid w:val="00EB7914"/>
    <w:rsid w:val="00EC35DD"/>
    <w:rsid w:val="00EC45DC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551D"/>
    <w:rsid w:val="00EE72C1"/>
    <w:rsid w:val="00EF0F15"/>
    <w:rsid w:val="00EF1F15"/>
    <w:rsid w:val="00EF2D05"/>
    <w:rsid w:val="00EF41F2"/>
    <w:rsid w:val="00EF5D1A"/>
    <w:rsid w:val="00F00824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5159"/>
    <w:rsid w:val="00F25A5C"/>
    <w:rsid w:val="00F276CC"/>
    <w:rsid w:val="00F306F4"/>
    <w:rsid w:val="00F35745"/>
    <w:rsid w:val="00F35A8F"/>
    <w:rsid w:val="00F378B2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03BD"/>
    <w:rsid w:val="00F94C58"/>
    <w:rsid w:val="00F94DE2"/>
    <w:rsid w:val="00F9654E"/>
    <w:rsid w:val="00FA0807"/>
    <w:rsid w:val="00FA6526"/>
    <w:rsid w:val="00FB06D6"/>
    <w:rsid w:val="00FB1986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5722"/>
    <w:rsid w:val="00FC572D"/>
    <w:rsid w:val="00FD1EDF"/>
    <w:rsid w:val="00FD2088"/>
    <w:rsid w:val="00FD2AF8"/>
    <w:rsid w:val="00FD2D10"/>
    <w:rsid w:val="00FD349C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E7C26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DAC46EE3-B734-4097-AA56-6815662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rgbClr val="066E1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SECAD!$B$5:$B$9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SECAD!$C$5:$C$9</c:f>
              <c:numCache>
                <c:formatCode>General</c:formatCode>
                <c:ptCount val="5"/>
                <c:pt idx="0">
                  <c:v>33</c:v>
                </c:pt>
                <c:pt idx="1">
                  <c:v>5</c:v>
                </c:pt>
                <c:pt idx="2">
                  <c:v>0</c:v>
                </c:pt>
                <c:pt idx="3">
                  <c:v>27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0"/>
              <a:t> 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66E1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442640728086588E-2"/>
                  <c:y val="-2.8729861386367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021690537452867E-2"/>
                  <c:y val="-2.553653748178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130143224717206E-3"/>
                  <c:y val="-1.276826874089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21690537452867E-2"/>
                  <c:y val="-1.5960335926112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021690537452867E-2"/>
                  <c:y val="-2.553653748178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SECAD!$B$26:$B$30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SECAD!$C$26:$C$30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47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9582600"/>
        <c:axId val="239582992"/>
        <c:axId val="0"/>
      </c:bar3DChart>
      <c:catAx>
        <c:axId val="23958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39582992"/>
        <c:crosses val="autoZero"/>
        <c:auto val="1"/>
        <c:lblAlgn val="ctr"/>
        <c:lblOffset val="100"/>
        <c:noMultiLvlLbl val="0"/>
      </c:catAx>
      <c:valAx>
        <c:axId val="239582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9582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458EC"/>
    <w:rsid w:val="00072511"/>
    <w:rsid w:val="000C220E"/>
    <w:rsid w:val="000D67A5"/>
    <w:rsid w:val="000F3B21"/>
    <w:rsid w:val="00120CD0"/>
    <w:rsid w:val="001554FF"/>
    <w:rsid w:val="001619D5"/>
    <w:rsid w:val="0017310E"/>
    <w:rsid w:val="00217072"/>
    <w:rsid w:val="00222D5E"/>
    <w:rsid w:val="002679BA"/>
    <w:rsid w:val="00274112"/>
    <w:rsid w:val="002B16CC"/>
    <w:rsid w:val="002D7391"/>
    <w:rsid w:val="002F29F6"/>
    <w:rsid w:val="00323379"/>
    <w:rsid w:val="00390D7F"/>
    <w:rsid w:val="003A4D8A"/>
    <w:rsid w:val="00422E9C"/>
    <w:rsid w:val="004C007C"/>
    <w:rsid w:val="004C39BB"/>
    <w:rsid w:val="004C7B50"/>
    <w:rsid w:val="004F6752"/>
    <w:rsid w:val="00554708"/>
    <w:rsid w:val="00582643"/>
    <w:rsid w:val="005923E7"/>
    <w:rsid w:val="0059519E"/>
    <w:rsid w:val="005C7D1B"/>
    <w:rsid w:val="005E04FF"/>
    <w:rsid w:val="006311C5"/>
    <w:rsid w:val="00660AED"/>
    <w:rsid w:val="00696FA8"/>
    <w:rsid w:val="006A45BA"/>
    <w:rsid w:val="006E0A5C"/>
    <w:rsid w:val="0071610E"/>
    <w:rsid w:val="00745C7C"/>
    <w:rsid w:val="00780203"/>
    <w:rsid w:val="007B6EC3"/>
    <w:rsid w:val="0080295F"/>
    <w:rsid w:val="00822D8E"/>
    <w:rsid w:val="0083726F"/>
    <w:rsid w:val="00843D34"/>
    <w:rsid w:val="00853E2A"/>
    <w:rsid w:val="008F336B"/>
    <w:rsid w:val="00983504"/>
    <w:rsid w:val="009E592B"/>
    <w:rsid w:val="009F4D8C"/>
    <w:rsid w:val="00A06A53"/>
    <w:rsid w:val="00A128C4"/>
    <w:rsid w:val="00AA466A"/>
    <w:rsid w:val="00AB6575"/>
    <w:rsid w:val="00BA60F6"/>
    <w:rsid w:val="00BD6C90"/>
    <w:rsid w:val="00BE7CC3"/>
    <w:rsid w:val="00C12693"/>
    <w:rsid w:val="00C74755"/>
    <w:rsid w:val="00C95058"/>
    <w:rsid w:val="00CB2D82"/>
    <w:rsid w:val="00D10A53"/>
    <w:rsid w:val="00DE6C66"/>
    <w:rsid w:val="00DF3A79"/>
    <w:rsid w:val="00E65359"/>
    <w:rsid w:val="00EB7649"/>
    <w:rsid w:val="00EC5B0E"/>
    <w:rsid w:val="00ED205F"/>
    <w:rsid w:val="00EE252D"/>
    <w:rsid w:val="00F05990"/>
    <w:rsid w:val="00F1405F"/>
    <w:rsid w:val="00F419CC"/>
    <w:rsid w:val="00F7764A"/>
    <w:rsid w:val="00F80814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7DFF-BE9D-4187-99CC-760C94D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1944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Executivo da Ouvidoria Geral - SECAD</vt:lpstr>
    </vt:vector>
  </TitlesOfParts>
  <Company>CONTROLADORIA GERAL DO ESTADO - CGE</Company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 - SECAD</dc:title>
  <dc:creator>PATRICIA TOZZI</dc:creator>
  <cp:lastModifiedBy>IONA BEZERRA OLIVEIRA DE ASSUMÇÃO</cp:lastModifiedBy>
  <cp:revision>2</cp:revision>
  <cp:lastPrinted>2014-05-06T20:08:00Z</cp:lastPrinted>
  <dcterms:created xsi:type="dcterms:W3CDTF">2014-10-08T17:25:00Z</dcterms:created>
  <dcterms:modified xsi:type="dcterms:W3CDTF">2014-10-08T17:25:00Z</dcterms:modified>
</cp:coreProperties>
</file>