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2301" w14:textId="77777777" w:rsidR="005C43E6" w:rsidRPr="001219B0" w:rsidRDefault="005C43E6" w:rsidP="005C43E6">
      <w:pPr>
        <w:spacing w:before="120" w:after="120"/>
        <w:jc w:val="center"/>
        <w:rPr>
          <w:rFonts w:eastAsia="Arial"/>
          <w:b/>
          <w:sz w:val="18"/>
          <w:szCs w:val="18"/>
          <w:lang w:eastAsia="en-US"/>
        </w:rPr>
      </w:pPr>
      <w:r w:rsidRPr="001219B0">
        <w:rPr>
          <w:rFonts w:eastAsia="Arial"/>
          <w:b/>
          <w:sz w:val="18"/>
          <w:szCs w:val="18"/>
          <w:lang w:eastAsia="en-US"/>
        </w:rPr>
        <w:t>CHECKLIST</w:t>
      </w:r>
    </w:p>
    <w:p w14:paraId="1E65B0EA" w14:textId="0B32188E" w:rsidR="005C43E6" w:rsidRPr="001219B0" w:rsidRDefault="00F058CC" w:rsidP="005C43E6">
      <w:pPr>
        <w:spacing w:before="120" w:after="120"/>
        <w:jc w:val="center"/>
        <w:rPr>
          <w:rFonts w:eastAsia="Calibri"/>
          <w:sz w:val="18"/>
          <w:szCs w:val="18"/>
          <w:lang w:eastAsia="en-US"/>
        </w:rPr>
      </w:pPr>
      <w:r w:rsidRPr="00D57B64">
        <w:rPr>
          <w:rFonts w:eastAsia="Arial"/>
          <w:b/>
          <w:sz w:val="18"/>
          <w:szCs w:val="18"/>
          <w:u w:val="single"/>
          <w:lang w:eastAsia="en-US"/>
        </w:rPr>
        <w:t xml:space="preserve">ADITIVO </w:t>
      </w:r>
      <w:r w:rsidR="005C43E6" w:rsidRPr="00D57B64">
        <w:rPr>
          <w:rFonts w:eastAsia="Arial"/>
          <w:b/>
          <w:sz w:val="18"/>
          <w:szCs w:val="18"/>
          <w:u w:val="single"/>
          <w:lang w:eastAsia="en-US"/>
        </w:rPr>
        <w:t>DE CONTRATO</w:t>
      </w:r>
    </w:p>
    <w:p w14:paraId="3E40B622" w14:textId="77777777" w:rsidR="005C43E6" w:rsidRPr="001219B0" w:rsidRDefault="005C43E6" w:rsidP="005C43E6">
      <w:pPr>
        <w:spacing w:before="120" w:after="120"/>
        <w:rPr>
          <w:rFonts w:eastAsia="Arial"/>
          <w:b/>
          <w:sz w:val="18"/>
          <w:szCs w:val="18"/>
          <w:u w:val="single"/>
          <w:lang w:eastAsia="en-US"/>
        </w:rPr>
      </w:pPr>
    </w:p>
    <w:p w14:paraId="539807DF" w14:textId="197B4FC4" w:rsidR="005C43E6" w:rsidRPr="001219B0" w:rsidRDefault="005C43E6" w:rsidP="005C43E6">
      <w:pPr>
        <w:spacing w:before="120" w:after="120"/>
        <w:rPr>
          <w:rFonts w:eastAsia="Calibri"/>
          <w:sz w:val="18"/>
          <w:szCs w:val="18"/>
          <w:lang w:eastAsia="en-US"/>
        </w:rPr>
      </w:pPr>
      <w:r w:rsidRPr="001219B0">
        <w:rPr>
          <w:rFonts w:eastAsia="Arial"/>
          <w:sz w:val="18"/>
          <w:szCs w:val="18"/>
          <w:lang w:eastAsia="en-US"/>
        </w:rPr>
        <w:t>Órgão/Entidade: ___________________________________________________________________________________</w:t>
      </w:r>
    </w:p>
    <w:p w14:paraId="0A72E7D5" w14:textId="31D26ECB" w:rsidR="005C43E6" w:rsidRPr="001219B0" w:rsidRDefault="005C43E6" w:rsidP="005C43E6">
      <w:pPr>
        <w:spacing w:before="120" w:after="120"/>
        <w:rPr>
          <w:rFonts w:eastAsia="Calibri"/>
          <w:sz w:val="18"/>
          <w:szCs w:val="18"/>
          <w:lang w:eastAsia="en-US"/>
        </w:rPr>
      </w:pPr>
      <w:r w:rsidRPr="001219B0">
        <w:rPr>
          <w:rFonts w:eastAsia="Arial"/>
          <w:sz w:val="18"/>
          <w:szCs w:val="18"/>
          <w:lang w:eastAsia="en-US"/>
        </w:rPr>
        <w:t>Processo nº: ______________________________________________________________________________________</w:t>
      </w:r>
    </w:p>
    <w:p w14:paraId="7534867B" w14:textId="5EFBAE42" w:rsidR="005C43E6" w:rsidRPr="001219B0" w:rsidRDefault="005C43E6" w:rsidP="005C43E6">
      <w:pPr>
        <w:spacing w:before="120" w:after="120"/>
        <w:rPr>
          <w:rFonts w:eastAsia="Arial"/>
          <w:sz w:val="18"/>
          <w:szCs w:val="18"/>
          <w:lang w:eastAsia="en-US"/>
        </w:rPr>
      </w:pPr>
      <w:r w:rsidRPr="001219B0">
        <w:rPr>
          <w:rFonts w:eastAsia="Arial"/>
          <w:sz w:val="18"/>
          <w:szCs w:val="18"/>
          <w:lang w:eastAsia="en-US"/>
        </w:rPr>
        <w:t>Contrato nº:______________________________ Período de vigência: _______________________________________</w:t>
      </w:r>
    </w:p>
    <w:p w14:paraId="119E8533" w14:textId="43E72554" w:rsidR="00A8056E" w:rsidRPr="001219B0" w:rsidRDefault="00A8056E" w:rsidP="005C43E6">
      <w:pPr>
        <w:spacing w:before="120" w:after="120"/>
        <w:rPr>
          <w:rFonts w:eastAsia="Arial"/>
          <w:sz w:val="18"/>
          <w:szCs w:val="18"/>
          <w:lang w:eastAsia="en-US"/>
        </w:rPr>
      </w:pPr>
      <w:r w:rsidRPr="001219B0">
        <w:rPr>
          <w:rFonts w:eastAsia="Arial"/>
          <w:sz w:val="18"/>
          <w:szCs w:val="18"/>
          <w:lang w:eastAsia="en-US"/>
        </w:rPr>
        <w:t>Objeto do contrato: ________________________________________________________________________________</w:t>
      </w:r>
    </w:p>
    <w:p w14:paraId="49ABA9EA" w14:textId="3C08B538" w:rsidR="00A8056E" w:rsidRPr="001219B0" w:rsidRDefault="00A8056E" w:rsidP="005C43E6">
      <w:pPr>
        <w:spacing w:before="120" w:after="120"/>
        <w:rPr>
          <w:rFonts w:eastAsia="Calibri"/>
          <w:sz w:val="18"/>
          <w:szCs w:val="18"/>
          <w:lang w:eastAsia="en-US"/>
        </w:rPr>
      </w:pPr>
      <w:r w:rsidRPr="001219B0">
        <w:rPr>
          <w:rFonts w:eastAsia="Arial"/>
          <w:sz w:val="18"/>
          <w:szCs w:val="18"/>
          <w:lang w:eastAsia="en-US"/>
        </w:rPr>
        <w:t>Justificativa de alteração: ___________________________________________________________________________</w:t>
      </w:r>
    </w:p>
    <w:p w14:paraId="7B180E0C" w14:textId="77777777" w:rsidR="005C43E6" w:rsidRPr="001219B0" w:rsidRDefault="005C43E6" w:rsidP="005C43E6">
      <w:pPr>
        <w:spacing w:before="120" w:after="120"/>
        <w:rPr>
          <w:sz w:val="18"/>
          <w:szCs w:val="18"/>
          <w:lang w:eastAsia="en-US"/>
        </w:rPr>
      </w:pPr>
    </w:p>
    <w:p w14:paraId="1A6187E9" w14:textId="736DC836" w:rsidR="00A35F76" w:rsidRPr="001219B0" w:rsidRDefault="00A35F76" w:rsidP="008E43BE">
      <w:pPr>
        <w:spacing w:before="120" w:after="120" w:line="360" w:lineRule="auto"/>
        <w:jc w:val="both"/>
        <w:rPr>
          <w:rFonts w:eastAsia="Calibri"/>
          <w:sz w:val="18"/>
          <w:szCs w:val="18"/>
          <w:shd w:val="clear" w:color="auto" w:fill="FFFFFF"/>
          <w:lang w:eastAsia="en-US"/>
        </w:rPr>
      </w:pPr>
      <w:r w:rsidRPr="001219B0">
        <w:rPr>
          <w:rFonts w:eastAsia="Calibri"/>
          <w:b/>
          <w:bCs/>
          <w:sz w:val="18"/>
          <w:szCs w:val="18"/>
          <w:shd w:val="clear" w:color="auto" w:fill="FFFFFF"/>
          <w:lang w:eastAsia="en-US"/>
        </w:rPr>
        <w:t>Aditivo</w:t>
      </w:r>
      <w:r w:rsidRPr="001219B0">
        <w:rPr>
          <w:rFonts w:eastAsia="Calibri"/>
          <w:sz w:val="18"/>
          <w:szCs w:val="18"/>
          <w:shd w:val="clear" w:color="auto" w:fill="FFFFFF"/>
          <w:lang w:eastAsia="en-US"/>
        </w:rPr>
        <w:t> –</w:t>
      </w:r>
      <w:r w:rsidR="008F4647" w:rsidRPr="001219B0">
        <w:rPr>
          <w:rFonts w:eastAsia="Calibri"/>
          <w:sz w:val="18"/>
          <w:szCs w:val="18"/>
          <w:shd w:val="clear" w:color="auto" w:fill="FFFFFF"/>
          <w:lang w:eastAsia="en-US"/>
        </w:rPr>
        <w:t xml:space="preserve"> É</w:t>
      </w:r>
      <w:r w:rsidRPr="001219B0">
        <w:rPr>
          <w:rFonts w:eastAsia="Calibri"/>
          <w:sz w:val="18"/>
          <w:szCs w:val="18"/>
          <w:shd w:val="clear" w:color="auto" w:fill="FFFFFF"/>
          <w:lang w:eastAsia="en-US"/>
        </w:rPr>
        <w:t xml:space="preserve"> </w:t>
      </w:r>
      <w:r w:rsidRPr="001219B0">
        <w:rPr>
          <w:rFonts w:eastAsia="Calibri"/>
          <w:sz w:val="18"/>
          <w:szCs w:val="18"/>
          <w:u w:val="single"/>
          <w:shd w:val="clear" w:color="auto" w:fill="FFFFFF"/>
          <w:lang w:eastAsia="en-US"/>
        </w:rPr>
        <w:t>Ato administrativo</w:t>
      </w:r>
      <w:r w:rsidRPr="001219B0">
        <w:rPr>
          <w:rFonts w:eastAsia="Calibri"/>
          <w:sz w:val="18"/>
          <w:szCs w:val="18"/>
          <w:shd w:val="clear" w:color="auto" w:fill="FFFFFF"/>
          <w:lang w:eastAsia="en-US"/>
        </w:rPr>
        <w:t xml:space="preserve"> usado para efetuar </w:t>
      </w:r>
      <w:r w:rsidRPr="00D518E6">
        <w:rPr>
          <w:rFonts w:eastAsia="Calibri"/>
          <w:b/>
          <w:bCs/>
          <w:sz w:val="18"/>
          <w:szCs w:val="18"/>
          <w:shd w:val="clear" w:color="auto" w:fill="FFFFFF"/>
          <w:lang w:eastAsia="en-US"/>
        </w:rPr>
        <w:t>acréscimos ou supressões no objeto</w:t>
      </w:r>
      <w:r w:rsidRPr="001219B0">
        <w:rPr>
          <w:rFonts w:eastAsia="Calibri"/>
          <w:sz w:val="18"/>
          <w:szCs w:val="18"/>
          <w:shd w:val="clear" w:color="auto" w:fill="FFFFFF"/>
          <w:lang w:eastAsia="en-US"/>
        </w:rPr>
        <w:t xml:space="preserve"> (alterações quantitativas e qualitativas), prorrogações, além de outras modificações admitidas em lei que possam ser caracterizadas como alterações do contrato.</w:t>
      </w:r>
    </w:p>
    <w:p w14:paraId="7A616C0E" w14:textId="3608CF75" w:rsidR="00D7703C" w:rsidRPr="001219B0" w:rsidRDefault="000671F0" w:rsidP="00D7703C">
      <w:pPr>
        <w:spacing w:before="120" w:after="120" w:line="360" w:lineRule="auto"/>
        <w:jc w:val="both"/>
        <w:rPr>
          <w:rFonts w:eastAsia="Arial"/>
          <w:sz w:val="18"/>
          <w:szCs w:val="18"/>
          <w:lang w:val="pt-BR" w:eastAsia="en-US"/>
        </w:rPr>
      </w:pPr>
      <w:r w:rsidRPr="001219B0">
        <w:rPr>
          <w:rFonts w:eastAsia="Calibri"/>
          <w:sz w:val="18"/>
          <w:szCs w:val="18"/>
          <w:shd w:val="clear" w:color="auto" w:fill="FFFFFF"/>
          <w:lang w:eastAsia="en-US"/>
        </w:rPr>
        <w:t xml:space="preserve">O art. 124 da Lei </w:t>
      </w:r>
      <w:r w:rsidR="00D518E6">
        <w:rPr>
          <w:rFonts w:eastAsia="Calibri"/>
          <w:sz w:val="18"/>
          <w:szCs w:val="18"/>
          <w:shd w:val="clear" w:color="auto" w:fill="FFFFFF"/>
          <w:lang w:eastAsia="en-US"/>
        </w:rPr>
        <w:t xml:space="preserve">Federal </w:t>
      </w:r>
      <w:r w:rsidRPr="001219B0">
        <w:rPr>
          <w:rFonts w:eastAsia="Calibri"/>
          <w:sz w:val="18"/>
          <w:szCs w:val="18"/>
          <w:shd w:val="clear" w:color="auto" w:fill="FFFFFF"/>
          <w:lang w:eastAsia="en-US"/>
        </w:rPr>
        <w:t>nº 14.133</w:t>
      </w:r>
      <w:r w:rsidR="00A8056E" w:rsidRPr="001219B0">
        <w:rPr>
          <w:rFonts w:eastAsia="Calibri"/>
          <w:sz w:val="18"/>
          <w:szCs w:val="18"/>
          <w:shd w:val="clear" w:color="auto" w:fill="FFFFFF"/>
          <w:lang w:eastAsia="en-US"/>
        </w:rPr>
        <w:t xml:space="preserve">/2021, </w:t>
      </w:r>
      <w:r w:rsidR="005C43E6" w:rsidRPr="001219B0">
        <w:rPr>
          <w:rFonts w:eastAsia="Arial"/>
          <w:sz w:val="18"/>
          <w:szCs w:val="18"/>
          <w:lang w:eastAsia="en-US"/>
        </w:rPr>
        <w:t xml:space="preserve">dispõe sobre </w:t>
      </w:r>
      <w:r w:rsidR="008F4647" w:rsidRPr="001219B0">
        <w:rPr>
          <w:rFonts w:eastAsia="Arial"/>
          <w:sz w:val="18"/>
          <w:szCs w:val="18"/>
          <w:lang w:eastAsia="en-US"/>
        </w:rPr>
        <w:t>os casos e as formas em que os contratos administrativos, desde que devidamente justificados, podereão ser aterados</w:t>
      </w:r>
      <w:r w:rsidR="00D7703C" w:rsidRPr="001219B0">
        <w:rPr>
          <w:rFonts w:eastAsia="Arial"/>
          <w:sz w:val="18"/>
          <w:szCs w:val="18"/>
          <w:lang w:eastAsia="en-US"/>
        </w:rPr>
        <w:t xml:space="preserve">: </w:t>
      </w:r>
      <w:r w:rsidR="00D7703C" w:rsidRPr="001219B0">
        <w:rPr>
          <w:rFonts w:eastAsia="Arial"/>
          <w:b/>
          <w:bCs/>
          <w:sz w:val="18"/>
          <w:szCs w:val="18"/>
          <w:lang w:eastAsia="en-US"/>
        </w:rPr>
        <w:t>I - unilateralmente pela Administração</w:t>
      </w:r>
      <w:r w:rsidR="00D7703C" w:rsidRPr="001219B0">
        <w:rPr>
          <w:rFonts w:eastAsia="Arial"/>
          <w:sz w:val="18"/>
          <w:szCs w:val="18"/>
          <w:lang w:eastAsia="en-US"/>
        </w:rPr>
        <w:t>:</w:t>
      </w:r>
      <w:r w:rsidR="00D7703C" w:rsidRPr="001219B0">
        <w:rPr>
          <w:rFonts w:eastAsia="Arial"/>
          <w:sz w:val="18"/>
          <w:szCs w:val="18"/>
          <w:lang w:val="pt-BR" w:eastAsia="en-US"/>
        </w:rPr>
        <w:t xml:space="preserve"> a) quando houver modificação do projeto ou das especificações, </w:t>
      </w:r>
      <w:r w:rsidR="00D7703C" w:rsidRPr="001219B0">
        <w:rPr>
          <w:rFonts w:eastAsia="Arial"/>
          <w:sz w:val="18"/>
          <w:szCs w:val="18"/>
          <w:u w:val="single"/>
          <w:lang w:val="pt-BR" w:eastAsia="en-US"/>
        </w:rPr>
        <w:t>para melhor adequação técnica a seus objetivos</w:t>
      </w:r>
      <w:r w:rsidR="00D7703C" w:rsidRPr="001219B0">
        <w:rPr>
          <w:rFonts w:eastAsia="Arial"/>
          <w:sz w:val="18"/>
          <w:szCs w:val="18"/>
          <w:lang w:val="pt-BR" w:eastAsia="en-US"/>
        </w:rPr>
        <w:t>;</w:t>
      </w:r>
      <w:bookmarkStart w:id="0" w:name="art124ib"/>
      <w:bookmarkEnd w:id="0"/>
      <w:r w:rsidR="00D7703C" w:rsidRPr="001219B0">
        <w:rPr>
          <w:rFonts w:eastAsia="Arial"/>
          <w:sz w:val="18"/>
          <w:szCs w:val="18"/>
          <w:lang w:val="pt-BR" w:eastAsia="en-US"/>
        </w:rPr>
        <w:t xml:space="preserve"> b) quando for necessária </w:t>
      </w:r>
      <w:r w:rsidR="00D7703C" w:rsidRPr="001219B0">
        <w:rPr>
          <w:rFonts w:eastAsia="Arial"/>
          <w:sz w:val="18"/>
          <w:szCs w:val="18"/>
          <w:u w:val="single"/>
          <w:lang w:val="pt-BR" w:eastAsia="en-US"/>
        </w:rPr>
        <w:t>a modificação do valor contratual em decorrência de acréscimo ou diminuição quantitativa</w:t>
      </w:r>
      <w:r w:rsidR="00D7703C" w:rsidRPr="001219B0">
        <w:rPr>
          <w:rFonts w:eastAsia="Arial"/>
          <w:sz w:val="18"/>
          <w:szCs w:val="18"/>
          <w:lang w:val="pt-BR" w:eastAsia="en-US"/>
        </w:rPr>
        <w:t xml:space="preserve"> de seu objeto, nos limites permitidos por esta Lei.   </w:t>
      </w:r>
      <w:r w:rsidR="00D7703C" w:rsidRPr="001219B0">
        <w:rPr>
          <w:rFonts w:eastAsia="Arial"/>
          <w:b/>
          <w:bCs/>
          <w:sz w:val="18"/>
          <w:szCs w:val="18"/>
          <w:lang w:val="pt-BR" w:eastAsia="en-US"/>
        </w:rPr>
        <w:t>II - por acordo entre as partes</w:t>
      </w:r>
      <w:r w:rsidR="00D7703C" w:rsidRPr="001219B0">
        <w:rPr>
          <w:rFonts w:eastAsia="Arial"/>
          <w:sz w:val="18"/>
          <w:szCs w:val="18"/>
          <w:lang w:val="pt-BR" w:eastAsia="en-US"/>
        </w:rPr>
        <w:t>:</w:t>
      </w:r>
      <w:bookmarkStart w:id="1" w:name="art124iia"/>
      <w:bookmarkEnd w:id="1"/>
      <w:r w:rsidR="00D7703C" w:rsidRPr="001219B0">
        <w:rPr>
          <w:rFonts w:eastAsia="Arial"/>
          <w:sz w:val="18"/>
          <w:szCs w:val="18"/>
          <w:lang w:val="pt-BR" w:eastAsia="en-US"/>
        </w:rPr>
        <w:t xml:space="preserve"> a) quando conveniente a substituição da garantia de execução;</w:t>
      </w:r>
      <w:bookmarkStart w:id="2" w:name="art124iib"/>
      <w:bookmarkEnd w:id="2"/>
      <w:r w:rsidR="00D7703C" w:rsidRPr="001219B0">
        <w:rPr>
          <w:rFonts w:eastAsia="Arial"/>
          <w:sz w:val="18"/>
          <w:szCs w:val="18"/>
          <w:lang w:val="pt-BR" w:eastAsia="en-US"/>
        </w:rPr>
        <w:t xml:space="preserve"> b) quando necessária a modificação do regime de execução da obra ou do serviço, bem como do modo de fornecimento, em face de verificação técnica da inaplicabilidade dos termos contratuais originários;</w:t>
      </w:r>
      <w:bookmarkStart w:id="3" w:name="art124iic"/>
      <w:bookmarkEnd w:id="3"/>
      <w:r w:rsidR="00D7703C" w:rsidRPr="001219B0">
        <w:rPr>
          <w:rFonts w:eastAsia="Arial"/>
          <w:sz w:val="18"/>
          <w:szCs w:val="18"/>
          <w:lang w:val="pt-BR" w:eastAsia="en-US"/>
        </w:rPr>
        <w:t xml:space="preserve"> 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bookmarkStart w:id="4" w:name="art124iid"/>
      <w:bookmarkEnd w:id="4"/>
      <w:r w:rsidR="00D7703C" w:rsidRPr="001219B0">
        <w:rPr>
          <w:rFonts w:eastAsia="Arial"/>
          <w:sz w:val="18"/>
          <w:szCs w:val="18"/>
          <w:lang w:val="pt-BR" w:eastAsia="en-US"/>
        </w:rPr>
        <w:t xml:space="preserve"> 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64DFDBD1" w14:textId="1BE4A4FA" w:rsidR="005C43E6" w:rsidRPr="001219B0" w:rsidRDefault="00D7703C" w:rsidP="00AE57F6">
      <w:pPr>
        <w:spacing w:before="120" w:after="120" w:line="360" w:lineRule="auto"/>
        <w:jc w:val="both"/>
        <w:rPr>
          <w:rFonts w:eastAsia="Calibri"/>
          <w:sz w:val="18"/>
          <w:szCs w:val="18"/>
          <w:shd w:val="clear" w:color="auto" w:fill="FFFFFF"/>
          <w:lang w:eastAsia="en-US"/>
        </w:rPr>
      </w:pPr>
      <w:r w:rsidRPr="001219B0">
        <w:rPr>
          <w:rFonts w:eastAsia="Arial"/>
          <w:sz w:val="18"/>
          <w:szCs w:val="18"/>
          <w:lang w:eastAsia="en-US"/>
        </w:rPr>
        <w:t>O</w:t>
      </w:r>
      <w:r w:rsidR="007E6E5A" w:rsidRPr="001219B0">
        <w:rPr>
          <w:rFonts w:eastAsia="Arial"/>
          <w:sz w:val="18"/>
          <w:szCs w:val="18"/>
          <w:lang w:eastAsia="en-US"/>
        </w:rPr>
        <w:t xml:space="preserve"> art. 132</w:t>
      </w:r>
      <w:r w:rsidR="00C95D93" w:rsidRPr="001219B0">
        <w:rPr>
          <w:rFonts w:eastAsia="Arial"/>
          <w:sz w:val="18"/>
          <w:szCs w:val="18"/>
          <w:lang w:eastAsia="en-US"/>
        </w:rPr>
        <w:t xml:space="preserve"> </w:t>
      </w:r>
      <w:r w:rsidR="00C95D93" w:rsidRPr="001219B0">
        <w:rPr>
          <w:rFonts w:eastAsia="Calibri"/>
          <w:b/>
          <w:bCs/>
          <w:sz w:val="18"/>
          <w:szCs w:val="18"/>
          <w:shd w:val="clear" w:color="auto" w:fill="FFFFFF"/>
          <w:lang w:eastAsia="en-US"/>
        </w:rPr>
        <w:t>exig</w:t>
      </w:r>
      <w:r w:rsidR="007E6E5A" w:rsidRPr="001219B0">
        <w:rPr>
          <w:rFonts w:eastAsia="Calibri"/>
          <w:b/>
          <w:bCs/>
          <w:sz w:val="18"/>
          <w:szCs w:val="18"/>
          <w:shd w:val="clear" w:color="auto" w:fill="FFFFFF"/>
          <w:lang w:eastAsia="en-US"/>
        </w:rPr>
        <w:t>e</w:t>
      </w:r>
      <w:r w:rsidR="00C95D93" w:rsidRPr="001219B0">
        <w:rPr>
          <w:rFonts w:eastAsia="Calibri"/>
          <w:b/>
          <w:bCs/>
          <w:sz w:val="18"/>
          <w:szCs w:val="18"/>
          <w:shd w:val="clear" w:color="auto" w:fill="FFFFFF"/>
          <w:lang w:eastAsia="en-US"/>
        </w:rPr>
        <w:t xml:space="preserve"> a formalização d</w:t>
      </w:r>
      <w:r w:rsidRPr="001219B0">
        <w:rPr>
          <w:rFonts w:eastAsia="Calibri"/>
          <w:b/>
          <w:bCs/>
          <w:sz w:val="18"/>
          <w:szCs w:val="18"/>
          <w:shd w:val="clear" w:color="auto" w:fill="FFFFFF"/>
          <w:lang w:eastAsia="en-US"/>
        </w:rPr>
        <w:t>e</w:t>
      </w:r>
      <w:r w:rsidR="00C95D93" w:rsidRPr="001219B0">
        <w:rPr>
          <w:rFonts w:eastAsia="Calibri"/>
          <w:b/>
          <w:bCs/>
          <w:sz w:val="18"/>
          <w:szCs w:val="18"/>
          <w:shd w:val="clear" w:color="auto" w:fill="FFFFFF"/>
          <w:lang w:eastAsia="en-US"/>
        </w:rPr>
        <w:t xml:space="preserve"> </w:t>
      </w:r>
      <w:r w:rsidRPr="001219B0">
        <w:rPr>
          <w:rFonts w:eastAsia="Calibri"/>
          <w:b/>
          <w:bCs/>
          <w:sz w:val="18"/>
          <w:szCs w:val="18"/>
          <w:u w:val="single"/>
          <w:shd w:val="clear" w:color="auto" w:fill="FFFFFF"/>
          <w:lang w:eastAsia="en-US"/>
        </w:rPr>
        <w:t>T</w:t>
      </w:r>
      <w:r w:rsidR="00C95D93" w:rsidRPr="001219B0">
        <w:rPr>
          <w:rFonts w:eastAsia="Calibri"/>
          <w:b/>
          <w:bCs/>
          <w:sz w:val="18"/>
          <w:szCs w:val="18"/>
          <w:u w:val="single"/>
          <w:shd w:val="clear" w:color="auto" w:fill="FFFFFF"/>
          <w:lang w:eastAsia="en-US"/>
        </w:rPr>
        <w:t xml:space="preserve">ermo </w:t>
      </w:r>
      <w:r w:rsidRPr="001219B0">
        <w:rPr>
          <w:rFonts w:eastAsia="Calibri"/>
          <w:b/>
          <w:bCs/>
          <w:sz w:val="18"/>
          <w:szCs w:val="18"/>
          <w:u w:val="single"/>
          <w:shd w:val="clear" w:color="auto" w:fill="FFFFFF"/>
          <w:lang w:eastAsia="en-US"/>
        </w:rPr>
        <w:t>A</w:t>
      </w:r>
      <w:r w:rsidR="00C95D93" w:rsidRPr="001219B0">
        <w:rPr>
          <w:rFonts w:eastAsia="Calibri"/>
          <w:b/>
          <w:bCs/>
          <w:sz w:val="18"/>
          <w:szCs w:val="18"/>
          <w:u w:val="single"/>
          <w:shd w:val="clear" w:color="auto" w:fill="FFFFFF"/>
          <w:lang w:eastAsia="en-US"/>
        </w:rPr>
        <w:t>ditivo</w:t>
      </w:r>
      <w:r w:rsidR="00C95D93" w:rsidRPr="001219B0">
        <w:rPr>
          <w:rFonts w:eastAsia="Calibri"/>
          <w:b/>
          <w:bCs/>
          <w:sz w:val="18"/>
          <w:szCs w:val="18"/>
          <w:shd w:val="clear" w:color="auto" w:fill="FFFFFF"/>
          <w:lang w:eastAsia="en-US"/>
        </w:rPr>
        <w:t xml:space="preserve"> como condição</w:t>
      </w:r>
      <w:r w:rsidR="00C95D93" w:rsidRPr="001219B0">
        <w:rPr>
          <w:rFonts w:eastAsia="Calibri"/>
          <w:sz w:val="18"/>
          <w:szCs w:val="18"/>
          <w:shd w:val="clear" w:color="auto" w:fill="FFFFFF"/>
          <w:lang w:eastAsia="en-US"/>
        </w:rPr>
        <w:t xml:space="preserve"> para a execução, pelo contratado, das prestações determinadas pela Administração</w:t>
      </w:r>
      <w:r w:rsidR="008F4647" w:rsidRPr="001219B0">
        <w:rPr>
          <w:rFonts w:eastAsia="Calibri"/>
          <w:sz w:val="18"/>
          <w:szCs w:val="18"/>
          <w:shd w:val="clear" w:color="auto" w:fill="FFFFFF"/>
          <w:lang w:eastAsia="en-US"/>
        </w:rPr>
        <w:t>(alterações)</w:t>
      </w:r>
      <w:r w:rsidR="00C95D93" w:rsidRPr="001219B0">
        <w:rPr>
          <w:rFonts w:eastAsia="Calibri"/>
          <w:sz w:val="18"/>
          <w:szCs w:val="18"/>
          <w:shd w:val="clear" w:color="auto" w:fill="FFFFFF"/>
          <w:lang w:eastAsia="en-US"/>
        </w:rPr>
        <w:t xml:space="preserve"> no curso da execução do contrato</w:t>
      </w:r>
      <w:r w:rsidRPr="001219B0">
        <w:rPr>
          <w:rFonts w:eastAsia="Calibri"/>
          <w:sz w:val="18"/>
          <w:szCs w:val="18"/>
          <w:u w:val="single"/>
          <w:shd w:val="clear" w:color="auto" w:fill="FFFFFF"/>
          <w:lang w:eastAsia="en-US"/>
        </w:rPr>
        <w:t>, e o a</w:t>
      </w:r>
      <w:proofErr w:type="spellStart"/>
      <w:r w:rsidR="008F4647" w:rsidRPr="001219B0">
        <w:rPr>
          <w:rFonts w:eastAsia="Arial"/>
          <w:sz w:val="18"/>
          <w:szCs w:val="18"/>
          <w:u w:val="single"/>
          <w:lang w:val="pt-BR" w:eastAsia="en-US"/>
        </w:rPr>
        <w:t>rt</w:t>
      </w:r>
      <w:proofErr w:type="spellEnd"/>
      <w:r w:rsidR="008F4647" w:rsidRPr="001219B0">
        <w:rPr>
          <w:rFonts w:eastAsia="Arial"/>
          <w:sz w:val="18"/>
          <w:szCs w:val="18"/>
          <w:u w:val="single"/>
          <w:lang w:val="pt-BR" w:eastAsia="en-US"/>
        </w:rPr>
        <w:t>. 136</w:t>
      </w:r>
      <w:r w:rsidRPr="001219B0">
        <w:rPr>
          <w:rFonts w:eastAsia="Arial"/>
          <w:sz w:val="18"/>
          <w:szCs w:val="18"/>
          <w:u w:val="single"/>
          <w:lang w:val="pt-BR" w:eastAsia="en-US"/>
        </w:rPr>
        <w:t xml:space="preserve"> dispensa a exigência da elaboração do termo aditivo para os </w:t>
      </w:r>
      <w:r w:rsidR="008F4647" w:rsidRPr="001219B0">
        <w:rPr>
          <w:rFonts w:eastAsia="Arial"/>
          <w:sz w:val="18"/>
          <w:szCs w:val="18"/>
          <w:u w:val="single"/>
          <w:lang w:val="pt-BR" w:eastAsia="en-US"/>
        </w:rPr>
        <w:t xml:space="preserve"> </w:t>
      </w:r>
      <w:r w:rsidRPr="001219B0">
        <w:rPr>
          <w:rFonts w:eastAsia="Arial"/>
          <w:sz w:val="18"/>
          <w:szCs w:val="18"/>
          <w:u w:val="single"/>
          <w:lang w:val="pt-BR" w:eastAsia="en-US"/>
        </w:rPr>
        <w:t>r</w:t>
      </w:r>
      <w:r w:rsidR="008F4647" w:rsidRPr="001219B0">
        <w:rPr>
          <w:rFonts w:eastAsia="Arial"/>
          <w:sz w:val="18"/>
          <w:szCs w:val="18"/>
          <w:u w:val="single"/>
          <w:lang w:val="pt-BR" w:eastAsia="en-US"/>
        </w:rPr>
        <w:t>egistros que não caracterizam alteração do contrato</w:t>
      </w:r>
      <w:r w:rsidRPr="001219B0">
        <w:rPr>
          <w:rFonts w:eastAsia="Arial"/>
          <w:sz w:val="18"/>
          <w:szCs w:val="18"/>
          <w:u w:val="single"/>
          <w:lang w:val="pt-BR" w:eastAsia="en-US"/>
        </w:rPr>
        <w:t>,</w:t>
      </w:r>
      <w:r w:rsidR="008F4647" w:rsidRPr="001219B0">
        <w:rPr>
          <w:rFonts w:eastAsia="Arial"/>
          <w:sz w:val="18"/>
          <w:szCs w:val="18"/>
          <w:u w:val="single"/>
          <w:lang w:val="pt-BR" w:eastAsia="en-US"/>
        </w:rPr>
        <w:t xml:space="preserve"> pode</w:t>
      </w:r>
      <w:r w:rsidRPr="001219B0">
        <w:rPr>
          <w:rFonts w:eastAsia="Arial"/>
          <w:sz w:val="18"/>
          <w:szCs w:val="18"/>
          <w:u w:val="single"/>
          <w:lang w:val="pt-BR" w:eastAsia="en-US"/>
        </w:rPr>
        <w:t xml:space="preserve">ndo </w:t>
      </w:r>
      <w:r w:rsidR="008F4647" w:rsidRPr="001219B0">
        <w:rPr>
          <w:rFonts w:eastAsia="Arial"/>
          <w:sz w:val="18"/>
          <w:szCs w:val="18"/>
          <w:u w:val="single"/>
          <w:lang w:val="pt-BR" w:eastAsia="en-US"/>
        </w:rPr>
        <w:t xml:space="preserve">ser realizados por simples </w:t>
      </w:r>
      <w:r w:rsidR="008F4647" w:rsidRPr="001219B0">
        <w:rPr>
          <w:rFonts w:eastAsia="Arial"/>
          <w:b/>
          <w:bCs/>
          <w:sz w:val="18"/>
          <w:szCs w:val="18"/>
          <w:u w:val="single"/>
          <w:lang w:val="pt-BR" w:eastAsia="en-US"/>
        </w:rPr>
        <w:t>apostila</w:t>
      </w:r>
      <w:r w:rsidR="008F4647" w:rsidRPr="001219B0">
        <w:rPr>
          <w:rFonts w:eastAsia="Arial"/>
          <w:sz w:val="18"/>
          <w:szCs w:val="18"/>
          <w:u w:val="single"/>
          <w:lang w:val="pt-BR" w:eastAsia="en-US"/>
        </w:rPr>
        <w:t>, como nas seguintes situações</w:t>
      </w:r>
      <w:r w:rsidR="008F4647" w:rsidRPr="001219B0">
        <w:rPr>
          <w:rFonts w:eastAsia="Arial"/>
          <w:sz w:val="18"/>
          <w:szCs w:val="18"/>
          <w:lang w:val="pt-BR" w:eastAsia="en-US"/>
        </w:rPr>
        <w:t>:</w:t>
      </w:r>
      <w:r w:rsidRPr="001219B0">
        <w:rPr>
          <w:rFonts w:eastAsia="Calibri"/>
          <w:sz w:val="18"/>
          <w:szCs w:val="18"/>
          <w:shd w:val="clear" w:color="auto" w:fill="FFFFFF"/>
          <w:lang w:eastAsia="en-US"/>
        </w:rPr>
        <w:t xml:space="preserve"> </w:t>
      </w:r>
      <w:r w:rsidR="008F4647" w:rsidRPr="001219B0">
        <w:rPr>
          <w:rFonts w:eastAsia="Arial"/>
          <w:sz w:val="18"/>
          <w:szCs w:val="18"/>
          <w:lang w:val="pt-BR" w:eastAsia="en-US"/>
        </w:rPr>
        <w:t>I - variação do valor contratual para fazer face ao reajuste ou à repactuação de preços previstos no próprio contrato;</w:t>
      </w:r>
      <w:r w:rsidRPr="001219B0">
        <w:rPr>
          <w:rFonts w:eastAsia="Calibri"/>
          <w:sz w:val="18"/>
          <w:szCs w:val="18"/>
          <w:shd w:val="clear" w:color="auto" w:fill="FFFFFF"/>
          <w:lang w:eastAsia="en-US"/>
        </w:rPr>
        <w:t xml:space="preserve"> </w:t>
      </w:r>
      <w:r w:rsidR="008F4647" w:rsidRPr="001219B0">
        <w:rPr>
          <w:rFonts w:eastAsia="Arial"/>
          <w:sz w:val="18"/>
          <w:szCs w:val="18"/>
          <w:lang w:val="pt-BR" w:eastAsia="en-US"/>
        </w:rPr>
        <w:t>II - atualizações, compensações ou penalizações financeiras decorrentes das condições de pagamento previstas no contrato;</w:t>
      </w:r>
      <w:r w:rsidRPr="001219B0">
        <w:rPr>
          <w:rFonts w:eastAsia="Calibri"/>
          <w:sz w:val="18"/>
          <w:szCs w:val="18"/>
          <w:shd w:val="clear" w:color="auto" w:fill="FFFFFF"/>
          <w:lang w:eastAsia="en-US"/>
        </w:rPr>
        <w:t xml:space="preserve"> </w:t>
      </w:r>
      <w:r w:rsidR="008F4647" w:rsidRPr="001219B0">
        <w:rPr>
          <w:rFonts w:eastAsia="Arial"/>
          <w:sz w:val="18"/>
          <w:szCs w:val="18"/>
          <w:lang w:val="pt-BR" w:eastAsia="en-US"/>
        </w:rPr>
        <w:t>III - alterações na razão ou na denominação social do contratado;</w:t>
      </w:r>
      <w:r w:rsidRPr="001219B0">
        <w:rPr>
          <w:rFonts w:eastAsia="Calibri"/>
          <w:sz w:val="18"/>
          <w:szCs w:val="18"/>
          <w:shd w:val="clear" w:color="auto" w:fill="FFFFFF"/>
          <w:lang w:eastAsia="en-US"/>
        </w:rPr>
        <w:t xml:space="preserve"> </w:t>
      </w:r>
      <w:r w:rsidR="008F4647" w:rsidRPr="001219B0">
        <w:rPr>
          <w:rFonts w:eastAsia="Arial"/>
          <w:sz w:val="18"/>
          <w:szCs w:val="18"/>
          <w:lang w:val="pt-BR" w:eastAsia="en-US"/>
        </w:rPr>
        <w:t>IV - empenho de dotações orçamentárias.</w:t>
      </w:r>
    </w:p>
    <w:p w14:paraId="62F8AEDF" w14:textId="03F784C2" w:rsidR="000E7CD7" w:rsidRPr="001219B0" w:rsidRDefault="000E7CD7" w:rsidP="00AE57F6">
      <w:pPr>
        <w:spacing w:before="120" w:after="120" w:line="360" w:lineRule="auto"/>
        <w:jc w:val="both"/>
        <w:rPr>
          <w:rFonts w:eastAsia="Calibri"/>
          <w:sz w:val="18"/>
          <w:szCs w:val="18"/>
          <w:lang w:eastAsia="en-US"/>
        </w:rPr>
      </w:pPr>
      <w:r w:rsidRPr="001219B0">
        <w:rPr>
          <w:rFonts w:eastAsia="Arial"/>
          <w:sz w:val="18"/>
          <w:szCs w:val="18"/>
          <w:lang w:eastAsia="en-US"/>
        </w:rPr>
        <w:t xml:space="preserve">Nos casos especificos de </w:t>
      </w:r>
      <w:r w:rsidRPr="001219B0">
        <w:rPr>
          <w:rFonts w:eastAsia="Arial"/>
          <w:b/>
          <w:bCs/>
          <w:sz w:val="18"/>
          <w:szCs w:val="18"/>
          <w:u w:val="single"/>
          <w:lang w:eastAsia="en-US"/>
        </w:rPr>
        <w:t>reajuste, reequilibrio e repactuação</w:t>
      </w:r>
      <w:r w:rsidRPr="001219B0">
        <w:rPr>
          <w:rFonts w:eastAsia="Arial"/>
          <w:sz w:val="18"/>
          <w:szCs w:val="18"/>
          <w:lang w:eastAsia="en-US"/>
        </w:rPr>
        <w:t xml:space="preserve"> suge</w:t>
      </w:r>
      <w:r w:rsidR="00A8056E" w:rsidRPr="001219B0">
        <w:rPr>
          <w:rFonts w:eastAsia="Arial"/>
          <w:sz w:val="18"/>
          <w:szCs w:val="18"/>
          <w:lang w:eastAsia="en-US"/>
        </w:rPr>
        <w:t>re</w:t>
      </w:r>
      <w:r w:rsidRPr="001219B0">
        <w:rPr>
          <w:rFonts w:eastAsia="Arial"/>
          <w:sz w:val="18"/>
          <w:szCs w:val="18"/>
          <w:lang w:eastAsia="en-US"/>
        </w:rPr>
        <w:t xml:space="preserve"> a ultilização de checklist especifico disponivel no sítio da CGE</w:t>
      </w:r>
      <w:r w:rsidR="002115CD" w:rsidRPr="001219B0">
        <w:rPr>
          <w:rFonts w:eastAsia="Arial"/>
          <w:sz w:val="18"/>
          <w:szCs w:val="18"/>
          <w:lang w:eastAsia="en-US"/>
        </w:rPr>
        <w:t xml:space="preserve">: </w:t>
      </w:r>
      <w:hyperlink r:id="rId8" w:history="1">
        <w:r w:rsidR="002115CD" w:rsidRPr="001219B0">
          <w:rPr>
            <w:rStyle w:val="Hyperlink"/>
            <w:rFonts w:eastAsia="Arial"/>
            <w:i/>
            <w:iCs/>
            <w:color w:val="auto"/>
            <w:sz w:val="18"/>
            <w:szCs w:val="18"/>
            <w:lang w:eastAsia="en-US"/>
          </w:rPr>
          <w:t>https://www.to.gov.br/cge/checklist-fundamentados-na-lei-1413321/13wo38t1f48</w:t>
        </w:r>
      </w:hyperlink>
    </w:p>
    <w:p w14:paraId="689365A5" w14:textId="77777777" w:rsidR="005C43E6" w:rsidRPr="001219B0" w:rsidRDefault="005C43E6" w:rsidP="00A8056E">
      <w:pPr>
        <w:rPr>
          <w:rFonts w:eastAsia="Calibri"/>
          <w:sz w:val="18"/>
          <w:szCs w:val="18"/>
          <w:lang w:eastAsia="en-US"/>
        </w:rPr>
      </w:pPr>
      <w:r w:rsidRPr="001219B0">
        <w:rPr>
          <w:rFonts w:eastAsia="Arial"/>
          <w:b/>
          <w:sz w:val="18"/>
          <w:szCs w:val="18"/>
          <w:lang w:eastAsia="en-US"/>
        </w:rPr>
        <w:t>Legenda: S = Sim; N = Não; NA = Não se Aplica</w:t>
      </w:r>
      <w:r w:rsidRPr="001219B0">
        <w:rPr>
          <w:rFonts w:eastAsia="Calibri"/>
          <w:sz w:val="18"/>
          <w:szCs w:val="18"/>
          <w:lang w:eastAsia="en-US"/>
        </w:rPr>
        <w:t>.</w:t>
      </w:r>
    </w:p>
    <w:tbl>
      <w:tblPr>
        <w:tblW w:w="5000" w:type="pct"/>
        <w:tblCellMar>
          <w:left w:w="70" w:type="dxa"/>
          <w:right w:w="70" w:type="dxa"/>
        </w:tblCellMar>
        <w:tblLook w:val="04A0" w:firstRow="1" w:lastRow="0" w:firstColumn="1" w:lastColumn="0" w:noHBand="0" w:noVBand="1"/>
      </w:tblPr>
      <w:tblGrid>
        <w:gridCol w:w="6354"/>
        <w:gridCol w:w="1514"/>
        <w:gridCol w:w="801"/>
        <w:gridCol w:w="619"/>
      </w:tblGrid>
      <w:tr w:rsidR="001219B0" w:rsidRPr="001219B0" w14:paraId="0356FC14" w14:textId="77777777" w:rsidTr="00AC1ADD">
        <w:tc>
          <w:tcPr>
            <w:tcW w:w="3421" w:type="pct"/>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79AF600D" w14:textId="754FD510" w:rsidR="005C43E6" w:rsidRPr="001219B0" w:rsidRDefault="005C43E6" w:rsidP="00A8056E">
            <w:pPr>
              <w:spacing w:line="276" w:lineRule="auto"/>
              <w:ind w:left="5" w:right="142"/>
              <w:jc w:val="center"/>
              <w:rPr>
                <w:rFonts w:eastAsia="Arial"/>
                <w:b/>
                <w:sz w:val="18"/>
                <w:szCs w:val="18"/>
                <w:lang w:eastAsia="en-US"/>
              </w:rPr>
            </w:pPr>
            <w:r w:rsidRPr="001219B0">
              <w:rPr>
                <w:rFonts w:eastAsia="Arial"/>
                <w:b/>
                <w:sz w:val="18"/>
                <w:szCs w:val="18"/>
                <w:lang w:eastAsia="en-US"/>
              </w:rPr>
              <w:t xml:space="preserve">Exigências para Formalização de Procedimentos para </w:t>
            </w:r>
            <w:r w:rsidR="008E43BE" w:rsidRPr="001219B0">
              <w:rPr>
                <w:rFonts w:eastAsia="Arial"/>
                <w:b/>
                <w:sz w:val="18"/>
                <w:szCs w:val="18"/>
                <w:lang w:eastAsia="en-US"/>
              </w:rPr>
              <w:t>Aditivo</w:t>
            </w:r>
            <w:r w:rsidRPr="001219B0">
              <w:rPr>
                <w:rFonts w:eastAsia="Arial"/>
                <w:b/>
                <w:sz w:val="18"/>
                <w:szCs w:val="18"/>
                <w:lang w:eastAsia="en-US"/>
              </w:rPr>
              <w:t xml:space="preserve"> de Contrato</w:t>
            </w:r>
          </w:p>
        </w:tc>
        <w:tc>
          <w:tcPr>
            <w:tcW w:w="815" w:type="pct"/>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5804CF41" w14:textId="77777777" w:rsidR="005C43E6" w:rsidRPr="001219B0" w:rsidRDefault="005C43E6">
            <w:pPr>
              <w:spacing w:after="160" w:line="276" w:lineRule="auto"/>
              <w:jc w:val="center"/>
              <w:rPr>
                <w:rFonts w:eastAsia="Calibri"/>
                <w:sz w:val="18"/>
                <w:szCs w:val="18"/>
                <w:lang w:eastAsia="en-US"/>
              </w:rPr>
            </w:pPr>
            <w:r w:rsidRPr="001219B0">
              <w:rPr>
                <w:rFonts w:eastAsia="Arial"/>
                <w:b/>
                <w:sz w:val="18"/>
                <w:szCs w:val="18"/>
                <w:lang w:eastAsia="en-US"/>
              </w:rPr>
              <w:t>Responsável</w:t>
            </w:r>
          </w:p>
        </w:tc>
        <w:tc>
          <w:tcPr>
            <w:tcW w:w="431" w:type="pct"/>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4B8FC642" w14:textId="77777777" w:rsidR="005C43E6" w:rsidRPr="001219B0" w:rsidRDefault="005C43E6">
            <w:pPr>
              <w:spacing w:after="160" w:line="276" w:lineRule="auto"/>
              <w:jc w:val="center"/>
              <w:rPr>
                <w:rFonts w:eastAsia="Calibri"/>
                <w:sz w:val="18"/>
                <w:szCs w:val="18"/>
                <w:lang w:eastAsia="en-US"/>
              </w:rPr>
            </w:pPr>
            <w:r w:rsidRPr="001219B0">
              <w:rPr>
                <w:rFonts w:eastAsia="Arial"/>
                <w:b/>
                <w:sz w:val="18"/>
                <w:szCs w:val="18"/>
                <w:lang w:eastAsia="en-US"/>
              </w:rPr>
              <w:t>S/N/NA</w:t>
            </w:r>
          </w:p>
        </w:tc>
        <w:tc>
          <w:tcPr>
            <w:tcW w:w="334"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65B59D0E" w14:textId="77777777" w:rsidR="005C43E6" w:rsidRPr="001219B0" w:rsidRDefault="005C43E6">
            <w:pPr>
              <w:spacing w:after="160" w:line="276" w:lineRule="auto"/>
              <w:jc w:val="center"/>
              <w:rPr>
                <w:rFonts w:eastAsia="Calibri"/>
                <w:sz w:val="18"/>
                <w:szCs w:val="18"/>
                <w:lang w:eastAsia="en-US"/>
              </w:rPr>
            </w:pPr>
            <w:r w:rsidRPr="001219B0">
              <w:rPr>
                <w:rFonts w:eastAsia="Arial"/>
                <w:b/>
                <w:sz w:val="18"/>
                <w:szCs w:val="18"/>
                <w:lang w:eastAsia="en-US"/>
              </w:rPr>
              <w:t>Folha</w:t>
            </w:r>
          </w:p>
        </w:tc>
      </w:tr>
      <w:tr w:rsidR="001219B0" w:rsidRPr="001219B0" w14:paraId="3DA7BE32" w14:textId="77777777" w:rsidTr="00AC1ADD">
        <w:trPr>
          <w:trHeight w:val="193"/>
        </w:trPr>
        <w:tc>
          <w:tcPr>
            <w:tcW w:w="3421" w:type="pct"/>
            <w:tcBorders>
              <w:top w:val="single" w:sz="4" w:space="0" w:color="000000"/>
              <w:left w:val="single" w:sz="4" w:space="0" w:color="000000"/>
              <w:bottom w:val="single" w:sz="4" w:space="0" w:color="000000"/>
              <w:right w:val="nil"/>
            </w:tcBorders>
          </w:tcPr>
          <w:p w14:paraId="146CA3E0" w14:textId="17E9592A" w:rsidR="008E0927" w:rsidRPr="001219B0" w:rsidRDefault="0004380E" w:rsidP="00745228">
            <w:pPr>
              <w:numPr>
                <w:ilvl w:val="0"/>
                <w:numId w:val="1"/>
              </w:numPr>
              <w:suppressAutoHyphens/>
              <w:ind w:left="204" w:right="142" w:hanging="204"/>
              <w:jc w:val="both"/>
              <w:rPr>
                <w:sz w:val="18"/>
                <w:szCs w:val="18"/>
                <w:lang w:eastAsia="en-US"/>
              </w:rPr>
            </w:pPr>
            <w:r w:rsidRPr="001219B0">
              <w:rPr>
                <w:sz w:val="18"/>
                <w:szCs w:val="18"/>
                <w:lang w:eastAsia="en-US"/>
              </w:rPr>
              <w:t xml:space="preserve">CREITÉRIO DE ADMISSIBILIDADE: </w:t>
            </w:r>
            <w:r w:rsidR="008E0927" w:rsidRPr="001219B0">
              <w:rPr>
                <w:sz w:val="18"/>
                <w:szCs w:val="18"/>
                <w:lang w:eastAsia="en-US"/>
              </w:rPr>
              <w:t xml:space="preserve">O termo aditivo foi celebrado </w:t>
            </w:r>
            <w:r w:rsidR="008E0927" w:rsidRPr="00D518E6">
              <w:rPr>
                <w:b/>
                <w:bCs/>
                <w:sz w:val="18"/>
                <w:szCs w:val="18"/>
                <w:lang w:eastAsia="en-US"/>
              </w:rPr>
              <w:t>dentro do prazo de</w:t>
            </w:r>
            <w:r w:rsidR="00C55CF5" w:rsidRPr="00D518E6">
              <w:rPr>
                <w:b/>
                <w:bCs/>
                <w:sz w:val="18"/>
                <w:szCs w:val="18"/>
                <w:lang w:eastAsia="en-US"/>
              </w:rPr>
              <w:t xml:space="preserve"> vigência contratual</w:t>
            </w:r>
            <w:r w:rsidR="00C55CF5" w:rsidRPr="001219B0">
              <w:rPr>
                <w:sz w:val="18"/>
                <w:szCs w:val="18"/>
                <w:lang w:eastAsia="en-US"/>
              </w:rPr>
              <w:t xml:space="preserve">, e </w:t>
            </w:r>
            <w:r w:rsidR="00D824A2" w:rsidRPr="001219B0">
              <w:rPr>
                <w:sz w:val="18"/>
                <w:szCs w:val="18"/>
                <w:lang w:eastAsia="en-US"/>
              </w:rPr>
              <w:t xml:space="preserve">o mesmo juntado </w:t>
            </w:r>
            <w:r w:rsidR="005B2C54" w:rsidRPr="001219B0">
              <w:rPr>
                <w:sz w:val="18"/>
                <w:szCs w:val="18"/>
                <w:lang w:eastAsia="en-US"/>
              </w:rPr>
              <w:t xml:space="preserve">ao processo que deu origem à contratação? </w:t>
            </w:r>
            <w:r w:rsidR="008E0927" w:rsidRPr="001219B0">
              <w:rPr>
                <w:sz w:val="18"/>
                <w:szCs w:val="18"/>
                <w:lang w:eastAsia="en-US"/>
              </w:rPr>
              <w:t>(</w:t>
            </w:r>
            <w:r w:rsidR="00C55CF5" w:rsidRPr="001219B0">
              <w:rPr>
                <w:sz w:val="18"/>
                <w:szCs w:val="18"/>
                <w:lang w:eastAsia="en-US"/>
              </w:rPr>
              <w:t>a</w:t>
            </w:r>
            <w:r w:rsidR="008E0927" w:rsidRPr="001219B0">
              <w:rPr>
                <w:sz w:val="18"/>
                <w:szCs w:val="18"/>
                <w:lang w:eastAsia="en-US"/>
              </w:rPr>
              <w:t>rt</w:t>
            </w:r>
            <w:r w:rsidR="00D824A2" w:rsidRPr="001219B0">
              <w:rPr>
                <w:sz w:val="18"/>
                <w:szCs w:val="18"/>
                <w:lang w:eastAsia="en-US"/>
              </w:rPr>
              <w:t>s</w:t>
            </w:r>
            <w:r w:rsidR="008E0927" w:rsidRPr="001219B0">
              <w:rPr>
                <w:sz w:val="18"/>
                <w:szCs w:val="18"/>
                <w:lang w:eastAsia="en-US"/>
              </w:rPr>
              <w:t xml:space="preserve">. </w:t>
            </w:r>
            <w:r w:rsidR="00D824A2" w:rsidRPr="001219B0">
              <w:rPr>
                <w:sz w:val="18"/>
                <w:szCs w:val="18"/>
                <w:lang w:eastAsia="en-US"/>
              </w:rPr>
              <w:t>91</w:t>
            </w:r>
            <w:r w:rsidR="008D2067" w:rsidRPr="001219B0">
              <w:rPr>
                <w:sz w:val="18"/>
                <w:szCs w:val="18"/>
                <w:lang w:eastAsia="en-US"/>
              </w:rPr>
              <w:t>, §3º</w:t>
            </w:r>
            <w:r w:rsidR="00D824A2" w:rsidRPr="001219B0">
              <w:rPr>
                <w:sz w:val="18"/>
                <w:szCs w:val="18"/>
                <w:lang w:eastAsia="en-US"/>
              </w:rPr>
              <w:t xml:space="preserve"> e </w:t>
            </w:r>
            <w:r w:rsidR="008E0927" w:rsidRPr="001219B0">
              <w:rPr>
                <w:sz w:val="18"/>
                <w:szCs w:val="18"/>
                <w:lang w:eastAsia="en-US"/>
              </w:rPr>
              <w:t xml:space="preserve">132 da Lei </w:t>
            </w:r>
            <w:r w:rsidR="00D824A2" w:rsidRPr="001219B0">
              <w:rPr>
                <w:sz w:val="18"/>
                <w:szCs w:val="18"/>
                <w:lang w:eastAsia="en-US"/>
              </w:rPr>
              <w:t xml:space="preserve">Federal </w:t>
            </w:r>
            <w:r w:rsidR="008E0927" w:rsidRPr="001219B0">
              <w:rPr>
                <w:sz w:val="18"/>
                <w:szCs w:val="18"/>
                <w:lang w:eastAsia="en-US"/>
              </w:rPr>
              <w:t>nº 14.133/21</w:t>
            </w:r>
            <w:r w:rsidR="00322173" w:rsidRPr="001219B0">
              <w:rPr>
                <w:sz w:val="18"/>
                <w:szCs w:val="18"/>
                <w:lang w:eastAsia="en-US"/>
              </w:rPr>
              <w:t>; art. 304 do Decreto Estadual nº 6.606/23</w:t>
            </w:r>
            <w:r w:rsidR="008E0927" w:rsidRPr="001219B0">
              <w:rPr>
                <w:sz w:val="18"/>
                <w:szCs w:val="18"/>
                <w:lang w:eastAsia="en-US"/>
              </w:rPr>
              <w:t>)</w:t>
            </w:r>
          </w:p>
        </w:tc>
        <w:tc>
          <w:tcPr>
            <w:tcW w:w="815" w:type="pct"/>
            <w:tcBorders>
              <w:top w:val="single" w:sz="4" w:space="0" w:color="000000"/>
              <w:left w:val="single" w:sz="4" w:space="0" w:color="000000"/>
              <w:bottom w:val="single" w:sz="4" w:space="0" w:color="000000"/>
              <w:right w:val="nil"/>
            </w:tcBorders>
          </w:tcPr>
          <w:p w14:paraId="26D78A64" w14:textId="77777777" w:rsidR="008E0927" w:rsidRPr="001219B0" w:rsidRDefault="008E0927" w:rsidP="00745228">
            <w:pPr>
              <w:snapToGrid w:val="0"/>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35E4D2C7" w14:textId="77777777" w:rsidR="008E0927" w:rsidRPr="001219B0" w:rsidRDefault="008E0927" w:rsidP="00745228">
            <w:pPr>
              <w:snapToGrid w:val="0"/>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2676FBD4" w14:textId="77777777" w:rsidR="008E0927" w:rsidRPr="001219B0" w:rsidRDefault="008E0927" w:rsidP="00745228">
            <w:pPr>
              <w:snapToGrid w:val="0"/>
              <w:rPr>
                <w:sz w:val="18"/>
                <w:szCs w:val="18"/>
                <w:lang w:eastAsia="en-US"/>
              </w:rPr>
            </w:pPr>
          </w:p>
        </w:tc>
      </w:tr>
      <w:tr w:rsidR="001219B0" w:rsidRPr="001219B0" w14:paraId="75080D9F" w14:textId="77777777" w:rsidTr="00AC1ADD">
        <w:trPr>
          <w:trHeight w:val="901"/>
        </w:trPr>
        <w:tc>
          <w:tcPr>
            <w:tcW w:w="3421" w:type="pct"/>
            <w:tcBorders>
              <w:top w:val="single" w:sz="4" w:space="0" w:color="000000"/>
              <w:left w:val="single" w:sz="4" w:space="0" w:color="000000"/>
              <w:bottom w:val="single" w:sz="4" w:space="0" w:color="000000"/>
              <w:right w:val="nil"/>
            </w:tcBorders>
          </w:tcPr>
          <w:p w14:paraId="2196A8AB" w14:textId="66B884BB" w:rsidR="00D824A2" w:rsidRPr="001219B0" w:rsidRDefault="005B2C54" w:rsidP="00B80301">
            <w:pPr>
              <w:numPr>
                <w:ilvl w:val="0"/>
                <w:numId w:val="1"/>
              </w:numPr>
              <w:suppressAutoHyphens/>
              <w:spacing w:line="276" w:lineRule="auto"/>
              <w:ind w:left="371" w:right="142" w:hanging="284"/>
              <w:jc w:val="both"/>
              <w:rPr>
                <w:sz w:val="18"/>
                <w:szCs w:val="18"/>
                <w:lang w:eastAsia="en-US"/>
              </w:rPr>
            </w:pPr>
            <w:r w:rsidRPr="001219B0">
              <w:rPr>
                <w:sz w:val="18"/>
                <w:szCs w:val="18"/>
                <w:lang w:eastAsia="en-US"/>
              </w:rPr>
              <w:t xml:space="preserve">Consta o </w:t>
            </w:r>
            <w:r w:rsidRPr="00D518E6">
              <w:rPr>
                <w:b/>
                <w:bCs/>
                <w:sz w:val="18"/>
                <w:szCs w:val="18"/>
                <w:lang w:eastAsia="en-US"/>
              </w:rPr>
              <w:t>extrato do termo aditivo</w:t>
            </w:r>
            <w:r w:rsidR="00D824A2" w:rsidRPr="001219B0">
              <w:rPr>
                <w:sz w:val="18"/>
                <w:szCs w:val="18"/>
                <w:lang w:eastAsia="en-US"/>
              </w:rPr>
              <w:t xml:space="preserve"> publicado para efeito de eficácia dentro dos prazos definos do art. 94 da Lei Federal nº 14.133/21?</w:t>
            </w:r>
            <w:r w:rsidRPr="001219B0">
              <w:rPr>
                <w:sz w:val="18"/>
                <w:szCs w:val="18"/>
                <w:lang w:eastAsia="en-US"/>
              </w:rPr>
              <w:t xml:space="preserve"> (art. 214 e 293 do Dec</w:t>
            </w:r>
            <w:r w:rsidR="00322173" w:rsidRPr="001219B0">
              <w:rPr>
                <w:sz w:val="18"/>
                <w:szCs w:val="18"/>
                <w:lang w:eastAsia="en-US"/>
              </w:rPr>
              <w:t xml:space="preserve">reto Estadual nº </w:t>
            </w:r>
            <w:r w:rsidRPr="001219B0">
              <w:rPr>
                <w:sz w:val="18"/>
                <w:szCs w:val="18"/>
                <w:lang w:eastAsia="en-US"/>
              </w:rPr>
              <w:t>6.606/23 c/c art. 4º</w:t>
            </w:r>
            <w:r w:rsidR="00322173" w:rsidRPr="001219B0">
              <w:rPr>
                <w:sz w:val="18"/>
                <w:szCs w:val="18"/>
                <w:lang w:eastAsia="en-US"/>
              </w:rPr>
              <w:t>, §4º</w:t>
            </w:r>
            <w:r w:rsidRPr="001219B0">
              <w:rPr>
                <w:sz w:val="18"/>
                <w:szCs w:val="18"/>
                <w:lang w:eastAsia="en-US"/>
              </w:rPr>
              <w:t xml:space="preserve"> da IN/TCE/TO </w:t>
            </w:r>
            <w:r w:rsidR="00322173" w:rsidRPr="001219B0">
              <w:rPr>
                <w:sz w:val="18"/>
                <w:szCs w:val="18"/>
                <w:lang w:eastAsia="en-US"/>
              </w:rPr>
              <w:t xml:space="preserve">nº </w:t>
            </w:r>
            <w:r w:rsidRPr="001219B0">
              <w:rPr>
                <w:sz w:val="18"/>
                <w:szCs w:val="18"/>
                <w:lang w:eastAsia="en-US"/>
              </w:rPr>
              <w:t>03/2024 e IN CGE nº 01/2019)</w:t>
            </w:r>
          </w:p>
        </w:tc>
        <w:tc>
          <w:tcPr>
            <w:tcW w:w="815" w:type="pct"/>
            <w:tcBorders>
              <w:top w:val="single" w:sz="4" w:space="0" w:color="000000"/>
              <w:left w:val="single" w:sz="4" w:space="0" w:color="000000"/>
              <w:bottom w:val="single" w:sz="4" w:space="0" w:color="000000"/>
              <w:right w:val="nil"/>
            </w:tcBorders>
          </w:tcPr>
          <w:p w14:paraId="2BD16770" w14:textId="77777777" w:rsidR="00D824A2" w:rsidRPr="001219B0" w:rsidRDefault="00D824A2" w:rsidP="006A0E09">
            <w:pPr>
              <w:snapToGrid w:val="0"/>
              <w:spacing w:after="160" w:line="360" w:lineRule="auto"/>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1B79F9D3" w14:textId="77777777" w:rsidR="00D824A2" w:rsidRPr="001219B0" w:rsidRDefault="00D824A2" w:rsidP="006A0E09">
            <w:pPr>
              <w:snapToGrid w:val="0"/>
              <w:spacing w:after="160" w:line="360" w:lineRule="auto"/>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3171C7BB" w14:textId="77777777" w:rsidR="00D824A2" w:rsidRPr="001219B0" w:rsidRDefault="00D824A2" w:rsidP="006A0E09">
            <w:pPr>
              <w:snapToGrid w:val="0"/>
              <w:spacing w:after="160" w:line="360" w:lineRule="auto"/>
              <w:rPr>
                <w:sz w:val="18"/>
                <w:szCs w:val="18"/>
                <w:lang w:eastAsia="en-US"/>
              </w:rPr>
            </w:pPr>
          </w:p>
        </w:tc>
      </w:tr>
      <w:tr w:rsidR="001219B0" w:rsidRPr="001219B0" w14:paraId="67DB6894" w14:textId="77777777" w:rsidTr="002B32C5">
        <w:trPr>
          <w:trHeight w:val="665"/>
        </w:trPr>
        <w:tc>
          <w:tcPr>
            <w:tcW w:w="3421" w:type="pct"/>
            <w:tcBorders>
              <w:top w:val="single" w:sz="4" w:space="0" w:color="000000"/>
              <w:left w:val="single" w:sz="4" w:space="0" w:color="000000"/>
              <w:bottom w:val="single" w:sz="4" w:space="0" w:color="000000"/>
              <w:right w:val="nil"/>
            </w:tcBorders>
            <w:hideMark/>
          </w:tcPr>
          <w:p w14:paraId="3BAE68FD" w14:textId="4FC8F916" w:rsidR="0032063D" w:rsidRPr="001219B0" w:rsidRDefault="0032063D" w:rsidP="002B32C5">
            <w:pPr>
              <w:numPr>
                <w:ilvl w:val="0"/>
                <w:numId w:val="1"/>
              </w:numPr>
              <w:suppressAutoHyphens/>
              <w:spacing w:line="276" w:lineRule="auto"/>
              <w:ind w:left="369" w:right="142" w:hanging="284"/>
              <w:jc w:val="both"/>
              <w:rPr>
                <w:rFonts w:eastAsia="Calibri"/>
                <w:sz w:val="18"/>
                <w:szCs w:val="18"/>
                <w:lang w:eastAsia="en-US"/>
              </w:rPr>
            </w:pPr>
            <w:r w:rsidRPr="001219B0">
              <w:rPr>
                <w:sz w:val="18"/>
                <w:szCs w:val="18"/>
                <w:lang w:eastAsia="en-US"/>
              </w:rPr>
              <w:lastRenderedPageBreak/>
              <w:t xml:space="preserve">Consta a </w:t>
            </w:r>
            <w:r w:rsidRPr="00D518E6">
              <w:rPr>
                <w:b/>
                <w:bCs/>
                <w:sz w:val="18"/>
                <w:szCs w:val="18"/>
                <w:lang w:eastAsia="en-US"/>
              </w:rPr>
              <w:t>justificativa</w:t>
            </w:r>
            <w:r w:rsidRPr="001219B0">
              <w:rPr>
                <w:sz w:val="18"/>
                <w:szCs w:val="18"/>
                <w:lang w:eastAsia="en-US"/>
              </w:rPr>
              <w:t xml:space="preserve"> da autoridade competente para alteração contratual, em conformidade com a cláusula prevista no contrato para prorrogação de prazo ou alteração do valor? (art. 124 da Lei Federal nº 14.133/21)</w:t>
            </w:r>
          </w:p>
        </w:tc>
        <w:tc>
          <w:tcPr>
            <w:tcW w:w="815" w:type="pct"/>
            <w:tcBorders>
              <w:top w:val="single" w:sz="4" w:space="0" w:color="000000"/>
              <w:left w:val="single" w:sz="4" w:space="0" w:color="000000"/>
              <w:bottom w:val="single" w:sz="4" w:space="0" w:color="000000"/>
              <w:right w:val="nil"/>
            </w:tcBorders>
          </w:tcPr>
          <w:p w14:paraId="2CFE8C93" w14:textId="77777777" w:rsidR="0032063D" w:rsidRPr="001219B0" w:rsidRDefault="0032063D" w:rsidP="002B32C5">
            <w:pPr>
              <w:snapToGrid w:val="0"/>
              <w:spacing w:line="360" w:lineRule="auto"/>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3C63B500" w14:textId="77777777" w:rsidR="0032063D" w:rsidRPr="001219B0" w:rsidRDefault="0032063D" w:rsidP="002B32C5">
            <w:pPr>
              <w:snapToGrid w:val="0"/>
              <w:spacing w:line="360" w:lineRule="auto"/>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5823936C" w14:textId="77777777" w:rsidR="0032063D" w:rsidRPr="001219B0" w:rsidRDefault="0032063D" w:rsidP="002B32C5">
            <w:pPr>
              <w:snapToGrid w:val="0"/>
              <w:spacing w:line="360" w:lineRule="auto"/>
              <w:rPr>
                <w:sz w:val="18"/>
                <w:szCs w:val="18"/>
                <w:lang w:eastAsia="en-US"/>
              </w:rPr>
            </w:pPr>
          </w:p>
        </w:tc>
      </w:tr>
      <w:tr w:rsidR="001219B0" w:rsidRPr="001219B0" w14:paraId="7742E5AA" w14:textId="77777777" w:rsidTr="002B32C5">
        <w:trPr>
          <w:trHeight w:val="661"/>
        </w:trPr>
        <w:tc>
          <w:tcPr>
            <w:tcW w:w="3421" w:type="pct"/>
            <w:tcBorders>
              <w:top w:val="single" w:sz="4" w:space="0" w:color="000000"/>
              <w:left w:val="single" w:sz="4" w:space="0" w:color="000000"/>
              <w:bottom w:val="single" w:sz="4" w:space="0" w:color="000000"/>
              <w:right w:val="nil"/>
            </w:tcBorders>
          </w:tcPr>
          <w:p w14:paraId="6480C1D9" w14:textId="1CE620F2" w:rsidR="006875E0" w:rsidRPr="001219B0" w:rsidRDefault="006875E0" w:rsidP="002B32C5">
            <w:pPr>
              <w:numPr>
                <w:ilvl w:val="0"/>
                <w:numId w:val="1"/>
              </w:numPr>
              <w:suppressAutoHyphens/>
              <w:spacing w:line="276" w:lineRule="auto"/>
              <w:ind w:left="369" w:right="142" w:hanging="284"/>
              <w:jc w:val="both"/>
              <w:rPr>
                <w:sz w:val="18"/>
                <w:szCs w:val="18"/>
                <w:lang w:eastAsia="en-US"/>
              </w:rPr>
            </w:pPr>
            <w:r w:rsidRPr="001219B0">
              <w:rPr>
                <w:sz w:val="18"/>
                <w:szCs w:val="18"/>
                <w:lang w:eastAsia="en-US"/>
              </w:rPr>
              <w:t xml:space="preserve">Consta verificada a </w:t>
            </w:r>
            <w:r w:rsidRPr="00D518E6">
              <w:rPr>
                <w:b/>
                <w:bCs/>
                <w:sz w:val="18"/>
                <w:szCs w:val="18"/>
                <w:lang w:eastAsia="en-US"/>
              </w:rPr>
              <w:t>regularidade fiscal do contratado</w:t>
            </w:r>
            <w:r w:rsidR="00D518E6">
              <w:rPr>
                <w:rStyle w:val="Refdenotaderodap"/>
                <w:b/>
                <w:bCs/>
                <w:sz w:val="18"/>
                <w:szCs w:val="18"/>
                <w:lang w:eastAsia="en-US"/>
              </w:rPr>
              <w:footnoteReference w:id="1"/>
            </w:r>
            <w:r w:rsidRPr="001219B0">
              <w:rPr>
                <w:sz w:val="18"/>
                <w:szCs w:val="18"/>
                <w:lang w:eastAsia="en-US"/>
              </w:rPr>
              <w:t>, atestando que não existe proibitivo a que a empresa contratada preste serviços à Administração Pública?</w:t>
            </w:r>
            <w:r w:rsidR="00D824A2" w:rsidRPr="001219B0">
              <w:rPr>
                <w:sz w:val="18"/>
                <w:szCs w:val="18"/>
                <w:lang w:eastAsia="en-US"/>
              </w:rPr>
              <w:t xml:space="preserve"> (art. 91, §4º da Lei Federal nº 14.133/21)</w:t>
            </w:r>
          </w:p>
        </w:tc>
        <w:tc>
          <w:tcPr>
            <w:tcW w:w="815" w:type="pct"/>
            <w:tcBorders>
              <w:top w:val="single" w:sz="4" w:space="0" w:color="000000"/>
              <w:left w:val="single" w:sz="4" w:space="0" w:color="000000"/>
              <w:bottom w:val="single" w:sz="4" w:space="0" w:color="000000"/>
              <w:right w:val="nil"/>
            </w:tcBorders>
          </w:tcPr>
          <w:p w14:paraId="3A999F0A" w14:textId="77777777" w:rsidR="006875E0" w:rsidRPr="001219B0" w:rsidRDefault="006875E0" w:rsidP="002B32C5">
            <w:pPr>
              <w:snapToGrid w:val="0"/>
              <w:spacing w:line="360" w:lineRule="auto"/>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32770A1E" w14:textId="77777777" w:rsidR="006875E0" w:rsidRPr="001219B0" w:rsidRDefault="006875E0" w:rsidP="002B32C5">
            <w:pPr>
              <w:snapToGrid w:val="0"/>
              <w:spacing w:line="360" w:lineRule="auto"/>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1BCBDF51" w14:textId="77777777" w:rsidR="006875E0" w:rsidRPr="001219B0" w:rsidRDefault="006875E0" w:rsidP="002B32C5">
            <w:pPr>
              <w:snapToGrid w:val="0"/>
              <w:spacing w:line="360" w:lineRule="auto"/>
              <w:rPr>
                <w:sz w:val="18"/>
                <w:szCs w:val="18"/>
                <w:lang w:eastAsia="en-US"/>
              </w:rPr>
            </w:pPr>
          </w:p>
        </w:tc>
      </w:tr>
      <w:tr w:rsidR="001219B0" w:rsidRPr="001219B0" w14:paraId="0397BC75" w14:textId="77777777" w:rsidTr="00AC1ADD">
        <w:tc>
          <w:tcPr>
            <w:tcW w:w="3421" w:type="pct"/>
            <w:tcBorders>
              <w:top w:val="single" w:sz="4" w:space="0" w:color="000000"/>
              <w:left w:val="single" w:sz="4" w:space="0" w:color="000000"/>
              <w:bottom w:val="single" w:sz="4" w:space="0" w:color="000000"/>
              <w:right w:val="nil"/>
            </w:tcBorders>
            <w:hideMark/>
          </w:tcPr>
          <w:p w14:paraId="341962D7" w14:textId="6E5E7F90" w:rsidR="001219B0" w:rsidRPr="001219B0" w:rsidRDefault="001219B0" w:rsidP="00F730B6">
            <w:pPr>
              <w:numPr>
                <w:ilvl w:val="0"/>
                <w:numId w:val="1"/>
              </w:numPr>
              <w:suppressAutoHyphens/>
              <w:spacing w:line="276" w:lineRule="auto"/>
              <w:ind w:left="371" w:right="142" w:hanging="284"/>
              <w:jc w:val="both"/>
              <w:rPr>
                <w:sz w:val="18"/>
                <w:szCs w:val="18"/>
                <w:lang w:val="de-DE" w:eastAsia="en-US"/>
              </w:rPr>
            </w:pPr>
            <w:r w:rsidRPr="001219B0">
              <w:rPr>
                <w:rFonts w:eastAsia="Arial"/>
                <w:sz w:val="18"/>
                <w:szCs w:val="18"/>
                <w:lang w:eastAsia="en-US"/>
              </w:rPr>
              <w:t xml:space="preserve">Consta o </w:t>
            </w:r>
            <w:r w:rsidRPr="001219B0">
              <w:rPr>
                <w:rFonts w:eastAsia="Arial"/>
                <w:b/>
                <w:sz w:val="18"/>
                <w:szCs w:val="18"/>
                <w:lang w:eastAsia="en-US"/>
              </w:rPr>
              <w:t>Detalhamento da Dotação – DD</w:t>
            </w:r>
            <w:r w:rsidRPr="001219B0">
              <w:rPr>
                <w:rFonts w:eastAsia="Arial"/>
                <w:sz w:val="18"/>
                <w:szCs w:val="18"/>
                <w:lang w:eastAsia="en-US"/>
              </w:rPr>
              <w:t xml:space="preserve"> e/ou declaração orçamentária, quando se tratar de recursos relativos ao exercício seguinte? (</w:t>
            </w:r>
            <w:r w:rsidR="00B90663">
              <w:rPr>
                <w:rFonts w:eastAsia="Arial"/>
                <w:sz w:val="18"/>
                <w:szCs w:val="18"/>
                <w:lang w:eastAsia="en-US"/>
              </w:rPr>
              <w:t xml:space="preserve"> art. 24 inc. I e </w:t>
            </w:r>
            <w:r w:rsidR="009F7FAC" w:rsidRPr="001219B0">
              <w:rPr>
                <w:rFonts w:eastAsia="Calibri"/>
                <w:sz w:val="18"/>
                <w:szCs w:val="18"/>
                <w:lang w:eastAsia="en-US"/>
              </w:rPr>
              <w:t xml:space="preserve">art. </w:t>
            </w:r>
            <w:r w:rsidR="009F7FAC">
              <w:rPr>
                <w:rFonts w:eastAsia="Calibri"/>
                <w:sz w:val="18"/>
                <w:szCs w:val="18"/>
                <w:lang w:eastAsia="en-US"/>
              </w:rPr>
              <w:t>69</w:t>
            </w:r>
            <w:r w:rsidR="009F7FAC" w:rsidRPr="001219B0">
              <w:rPr>
                <w:rFonts w:eastAsia="Calibri"/>
                <w:sz w:val="18"/>
                <w:szCs w:val="18"/>
                <w:lang w:eastAsia="en-US"/>
              </w:rPr>
              <w:t xml:space="preserve"> inc. IV do Decreto Orçamentário nº 6.</w:t>
            </w:r>
            <w:r w:rsidR="009F7FAC">
              <w:rPr>
                <w:rFonts w:eastAsia="Calibri"/>
                <w:sz w:val="18"/>
                <w:szCs w:val="18"/>
                <w:lang w:eastAsia="en-US"/>
              </w:rPr>
              <w:t>898</w:t>
            </w:r>
            <w:r w:rsidR="009F7FAC" w:rsidRPr="001219B0">
              <w:rPr>
                <w:rFonts w:eastAsia="Calibri"/>
                <w:sz w:val="18"/>
                <w:szCs w:val="18"/>
                <w:lang w:eastAsia="en-US"/>
              </w:rPr>
              <w:t>/202</w:t>
            </w:r>
            <w:r w:rsidR="009F7FAC">
              <w:rPr>
                <w:rFonts w:eastAsia="Calibri"/>
                <w:sz w:val="18"/>
                <w:szCs w:val="18"/>
                <w:lang w:eastAsia="en-US"/>
              </w:rPr>
              <w:t>5</w:t>
            </w:r>
            <w:r w:rsidR="009F7FAC" w:rsidRPr="001219B0">
              <w:rPr>
                <w:rFonts w:eastAsia="Calibri"/>
                <w:sz w:val="18"/>
                <w:szCs w:val="18"/>
                <w:lang w:eastAsia="en-US"/>
              </w:rPr>
              <w:t>)</w:t>
            </w:r>
          </w:p>
        </w:tc>
        <w:tc>
          <w:tcPr>
            <w:tcW w:w="815" w:type="pct"/>
            <w:tcBorders>
              <w:top w:val="single" w:sz="4" w:space="0" w:color="000000"/>
              <w:left w:val="single" w:sz="4" w:space="0" w:color="000000"/>
              <w:bottom w:val="single" w:sz="4" w:space="0" w:color="000000"/>
              <w:right w:val="nil"/>
            </w:tcBorders>
          </w:tcPr>
          <w:p w14:paraId="4CF1A7E6" w14:textId="77777777" w:rsidR="001219B0" w:rsidRPr="001219B0" w:rsidRDefault="001219B0" w:rsidP="00F730B6">
            <w:pPr>
              <w:suppressAutoHyphens/>
              <w:spacing w:line="276" w:lineRule="auto"/>
              <w:ind w:left="568" w:right="142"/>
              <w:jc w:val="both"/>
              <w:rPr>
                <w:sz w:val="18"/>
                <w:szCs w:val="18"/>
                <w:lang w:val="de-DE" w:eastAsia="en-US"/>
              </w:rPr>
            </w:pPr>
          </w:p>
        </w:tc>
        <w:tc>
          <w:tcPr>
            <w:tcW w:w="431" w:type="pct"/>
            <w:tcBorders>
              <w:top w:val="single" w:sz="4" w:space="0" w:color="000000"/>
              <w:left w:val="single" w:sz="4" w:space="0" w:color="000000"/>
              <w:bottom w:val="single" w:sz="4" w:space="0" w:color="000000"/>
              <w:right w:val="nil"/>
            </w:tcBorders>
          </w:tcPr>
          <w:p w14:paraId="6DC2FB91" w14:textId="77777777" w:rsidR="001219B0" w:rsidRPr="001219B0" w:rsidRDefault="001219B0" w:rsidP="00F730B6">
            <w:pPr>
              <w:suppressAutoHyphens/>
              <w:spacing w:line="276" w:lineRule="auto"/>
              <w:ind w:left="568" w:right="142"/>
              <w:jc w:val="both"/>
              <w:rPr>
                <w:sz w:val="18"/>
                <w:szCs w:val="18"/>
                <w:lang w:val="de-DE" w:eastAsia="en-US"/>
              </w:rPr>
            </w:pPr>
          </w:p>
        </w:tc>
        <w:tc>
          <w:tcPr>
            <w:tcW w:w="334" w:type="pct"/>
            <w:tcBorders>
              <w:top w:val="single" w:sz="4" w:space="0" w:color="000000"/>
              <w:left w:val="single" w:sz="4" w:space="0" w:color="000000"/>
              <w:bottom w:val="single" w:sz="4" w:space="0" w:color="000000"/>
              <w:right w:val="single" w:sz="4" w:space="0" w:color="000000"/>
            </w:tcBorders>
          </w:tcPr>
          <w:p w14:paraId="6C39E1C9" w14:textId="77777777" w:rsidR="001219B0" w:rsidRPr="001219B0" w:rsidRDefault="001219B0" w:rsidP="00F730B6">
            <w:pPr>
              <w:suppressAutoHyphens/>
              <w:spacing w:line="276" w:lineRule="auto"/>
              <w:ind w:left="568" w:right="142"/>
              <w:jc w:val="both"/>
              <w:rPr>
                <w:sz w:val="18"/>
                <w:szCs w:val="18"/>
                <w:lang w:val="de-DE" w:eastAsia="en-US"/>
              </w:rPr>
            </w:pPr>
          </w:p>
        </w:tc>
      </w:tr>
      <w:tr w:rsidR="00F67EBE" w:rsidRPr="001219B0" w14:paraId="391F19AF" w14:textId="77777777" w:rsidTr="00AC1ADD">
        <w:tc>
          <w:tcPr>
            <w:tcW w:w="3421" w:type="pct"/>
            <w:tcBorders>
              <w:top w:val="single" w:sz="4" w:space="0" w:color="000000"/>
              <w:left w:val="single" w:sz="4" w:space="0" w:color="000000"/>
              <w:bottom w:val="single" w:sz="4" w:space="0" w:color="000000"/>
              <w:right w:val="nil"/>
            </w:tcBorders>
          </w:tcPr>
          <w:p w14:paraId="53212AA3" w14:textId="4AC9F23C" w:rsidR="00F67EBE" w:rsidRPr="001219B0" w:rsidRDefault="00F67EBE" w:rsidP="00F730B6">
            <w:pPr>
              <w:numPr>
                <w:ilvl w:val="0"/>
                <w:numId w:val="1"/>
              </w:numPr>
              <w:suppressAutoHyphens/>
              <w:spacing w:line="276" w:lineRule="auto"/>
              <w:ind w:left="371" w:right="142" w:hanging="284"/>
              <w:jc w:val="both"/>
              <w:rPr>
                <w:rFonts w:eastAsia="Arial"/>
                <w:sz w:val="18"/>
                <w:szCs w:val="18"/>
                <w:lang w:eastAsia="en-US"/>
              </w:rPr>
            </w:pPr>
            <w:r w:rsidRPr="00F67EBE">
              <w:rPr>
                <w:rFonts w:eastAsia="Arial"/>
                <w:sz w:val="18"/>
                <w:szCs w:val="18"/>
                <w:lang w:eastAsia="en-US"/>
              </w:rPr>
              <w:t xml:space="preserve">Consta </w:t>
            </w:r>
            <w:r w:rsidRPr="00F67EBE">
              <w:rPr>
                <w:rFonts w:eastAsia="Arial"/>
                <w:b/>
                <w:bCs/>
                <w:sz w:val="18"/>
                <w:szCs w:val="18"/>
                <w:lang w:eastAsia="en-US"/>
              </w:rPr>
              <w:t>ciência e análise</w:t>
            </w:r>
            <w:r w:rsidRPr="00F67EBE">
              <w:rPr>
                <w:rFonts w:eastAsia="Arial"/>
                <w:sz w:val="18"/>
                <w:szCs w:val="18"/>
                <w:lang w:eastAsia="en-US"/>
              </w:rPr>
              <w:t xml:space="preserve"> da despesa pelo Grupo Gestor para Equilíbrio do Gasto Público, após prévia manifestação da Secretaria do Planejamento e Orçamento</w:t>
            </w:r>
            <w:r>
              <w:rPr>
                <w:rFonts w:eastAsia="Arial"/>
                <w:sz w:val="18"/>
                <w:szCs w:val="18"/>
                <w:lang w:eastAsia="en-US"/>
              </w:rPr>
              <w:t>, caso for o caso</w:t>
            </w:r>
            <w:r w:rsidRPr="00F67EBE">
              <w:rPr>
                <w:rFonts w:eastAsia="Arial"/>
                <w:sz w:val="18"/>
                <w:szCs w:val="18"/>
                <w:lang w:eastAsia="en-US"/>
              </w:rPr>
              <w:t>? (art. 24, inc. III e IV e §1º do Decreto Orçamentário nº 6.898/25).</w:t>
            </w:r>
          </w:p>
        </w:tc>
        <w:tc>
          <w:tcPr>
            <w:tcW w:w="815" w:type="pct"/>
            <w:tcBorders>
              <w:top w:val="single" w:sz="4" w:space="0" w:color="000000"/>
              <w:left w:val="single" w:sz="4" w:space="0" w:color="000000"/>
              <w:bottom w:val="single" w:sz="4" w:space="0" w:color="000000"/>
              <w:right w:val="nil"/>
            </w:tcBorders>
          </w:tcPr>
          <w:p w14:paraId="3A6D895B" w14:textId="77777777" w:rsidR="00F67EBE" w:rsidRPr="001219B0" w:rsidRDefault="00F67EBE" w:rsidP="00F730B6">
            <w:pPr>
              <w:suppressAutoHyphens/>
              <w:spacing w:line="276" w:lineRule="auto"/>
              <w:ind w:left="568" w:right="142"/>
              <w:jc w:val="both"/>
              <w:rPr>
                <w:sz w:val="18"/>
                <w:szCs w:val="18"/>
                <w:lang w:val="de-DE" w:eastAsia="en-US"/>
              </w:rPr>
            </w:pPr>
          </w:p>
        </w:tc>
        <w:tc>
          <w:tcPr>
            <w:tcW w:w="431" w:type="pct"/>
            <w:tcBorders>
              <w:top w:val="single" w:sz="4" w:space="0" w:color="000000"/>
              <w:left w:val="single" w:sz="4" w:space="0" w:color="000000"/>
              <w:bottom w:val="single" w:sz="4" w:space="0" w:color="000000"/>
              <w:right w:val="nil"/>
            </w:tcBorders>
          </w:tcPr>
          <w:p w14:paraId="173B2F3E" w14:textId="77777777" w:rsidR="00F67EBE" w:rsidRPr="001219B0" w:rsidRDefault="00F67EBE" w:rsidP="00F730B6">
            <w:pPr>
              <w:suppressAutoHyphens/>
              <w:spacing w:line="276" w:lineRule="auto"/>
              <w:ind w:left="568" w:right="142"/>
              <w:jc w:val="both"/>
              <w:rPr>
                <w:sz w:val="18"/>
                <w:szCs w:val="18"/>
                <w:lang w:val="de-DE" w:eastAsia="en-US"/>
              </w:rPr>
            </w:pPr>
          </w:p>
        </w:tc>
        <w:tc>
          <w:tcPr>
            <w:tcW w:w="334" w:type="pct"/>
            <w:tcBorders>
              <w:top w:val="single" w:sz="4" w:space="0" w:color="000000"/>
              <w:left w:val="single" w:sz="4" w:space="0" w:color="000000"/>
              <w:bottom w:val="single" w:sz="4" w:space="0" w:color="000000"/>
              <w:right w:val="single" w:sz="4" w:space="0" w:color="000000"/>
            </w:tcBorders>
          </w:tcPr>
          <w:p w14:paraId="5490266E" w14:textId="77777777" w:rsidR="00F67EBE" w:rsidRPr="001219B0" w:rsidRDefault="00F67EBE" w:rsidP="00F730B6">
            <w:pPr>
              <w:suppressAutoHyphens/>
              <w:spacing w:line="276" w:lineRule="auto"/>
              <w:ind w:left="568" w:right="142"/>
              <w:jc w:val="both"/>
              <w:rPr>
                <w:sz w:val="18"/>
                <w:szCs w:val="18"/>
                <w:lang w:val="de-DE" w:eastAsia="en-US"/>
              </w:rPr>
            </w:pPr>
          </w:p>
        </w:tc>
      </w:tr>
      <w:tr w:rsidR="001219B0" w:rsidRPr="001219B0" w14:paraId="66F7771B" w14:textId="77777777" w:rsidTr="00AC1ADD">
        <w:tc>
          <w:tcPr>
            <w:tcW w:w="3421" w:type="pct"/>
            <w:tcBorders>
              <w:top w:val="single" w:sz="4" w:space="0" w:color="000000"/>
              <w:left w:val="single" w:sz="4" w:space="0" w:color="000000"/>
              <w:bottom w:val="single" w:sz="4" w:space="0" w:color="000000"/>
              <w:right w:val="nil"/>
            </w:tcBorders>
            <w:hideMark/>
          </w:tcPr>
          <w:p w14:paraId="750DECF1" w14:textId="7BFEC18D" w:rsidR="001219B0" w:rsidRPr="001219B0" w:rsidRDefault="001219B0" w:rsidP="001219B0">
            <w:pPr>
              <w:numPr>
                <w:ilvl w:val="0"/>
                <w:numId w:val="1"/>
              </w:numPr>
              <w:tabs>
                <w:tab w:val="clear" w:pos="928"/>
                <w:tab w:val="num" w:pos="720"/>
              </w:tabs>
              <w:suppressAutoHyphens/>
              <w:spacing w:line="276" w:lineRule="auto"/>
              <w:ind w:left="371" w:right="142" w:hanging="284"/>
              <w:jc w:val="both"/>
              <w:rPr>
                <w:rFonts w:eastAsia="Arial"/>
                <w:sz w:val="18"/>
                <w:szCs w:val="18"/>
                <w:lang w:eastAsia="en-US"/>
              </w:rPr>
            </w:pPr>
            <w:r w:rsidRPr="001219B0">
              <w:rPr>
                <w:rFonts w:eastAsia="Arial"/>
                <w:sz w:val="18"/>
                <w:szCs w:val="18"/>
                <w:lang w:eastAsia="en-US"/>
              </w:rPr>
              <w:t xml:space="preserve">Consta </w:t>
            </w:r>
            <w:r w:rsidRPr="00F67EBE">
              <w:rPr>
                <w:rFonts w:eastAsia="Arial"/>
                <w:b/>
                <w:bCs/>
                <w:sz w:val="18"/>
                <w:szCs w:val="18"/>
                <w:lang w:eastAsia="en-US"/>
              </w:rPr>
              <w:t>Parecer da Assessoria Jurídica</w:t>
            </w:r>
            <w:r w:rsidRPr="001219B0">
              <w:rPr>
                <w:rFonts w:eastAsia="Arial"/>
                <w:sz w:val="18"/>
                <w:szCs w:val="18"/>
                <w:lang w:eastAsia="en-US"/>
              </w:rPr>
              <w:t xml:space="preserve"> do órgão e/ou da Procuradoria Geral do Estado</w:t>
            </w:r>
            <w:r w:rsidR="00F67EBE">
              <w:rPr>
                <w:rFonts w:eastAsia="Arial"/>
                <w:sz w:val="18"/>
                <w:szCs w:val="18"/>
                <w:lang w:eastAsia="en-US"/>
              </w:rPr>
              <w:t>, conforme o caso</w:t>
            </w:r>
            <w:r w:rsidRPr="001219B0">
              <w:rPr>
                <w:rFonts w:eastAsia="Arial"/>
                <w:sz w:val="18"/>
                <w:szCs w:val="18"/>
                <w:lang w:eastAsia="en-US"/>
              </w:rPr>
              <w:t xml:space="preserve">? (art. 53 da Lei </w:t>
            </w:r>
            <w:r w:rsidR="00F67EBE">
              <w:rPr>
                <w:rFonts w:eastAsia="Arial"/>
                <w:sz w:val="18"/>
                <w:szCs w:val="18"/>
                <w:lang w:eastAsia="en-US"/>
              </w:rPr>
              <w:t xml:space="preserve">Federal </w:t>
            </w:r>
            <w:r w:rsidRPr="001219B0">
              <w:rPr>
                <w:rFonts w:eastAsia="Arial"/>
                <w:sz w:val="18"/>
                <w:szCs w:val="18"/>
                <w:lang w:eastAsia="en-US"/>
              </w:rPr>
              <w:t>nº 14.133/21)</w:t>
            </w:r>
          </w:p>
        </w:tc>
        <w:tc>
          <w:tcPr>
            <w:tcW w:w="815" w:type="pct"/>
            <w:tcBorders>
              <w:top w:val="single" w:sz="4" w:space="0" w:color="000000"/>
              <w:left w:val="single" w:sz="4" w:space="0" w:color="000000"/>
              <w:bottom w:val="single" w:sz="4" w:space="0" w:color="000000"/>
              <w:right w:val="nil"/>
            </w:tcBorders>
          </w:tcPr>
          <w:p w14:paraId="3247C560" w14:textId="77777777" w:rsidR="001219B0" w:rsidRPr="001219B0" w:rsidRDefault="001219B0" w:rsidP="001219B0">
            <w:pPr>
              <w:suppressAutoHyphens/>
              <w:spacing w:line="276" w:lineRule="auto"/>
              <w:ind w:left="371" w:right="142"/>
              <w:jc w:val="both"/>
              <w:rPr>
                <w:rFonts w:eastAsia="Arial"/>
                <w:sz w:val="18"/>
                <w:szCs w:val="18"/>
                <w:lang w:eastAsia="en-US"/>
              </w:rPr>
            </w:pPr>
          </w:p>
        </w:tc>
        <w:tc>
          <w:tcPr>
            <w:tcW w:w="431" w:type="pct"/>
            <w:tcBorders>
              <w:top w:val="single" w:sz="4" w:space="0" w:color="000000"/>
              <w:left w:val="single" w:sz="4" w:space="0" w:color="000000"/>
              <w:bottom w:val="single" w:sz="4" w:space="0" w:color="000000"/>
              <w:right w:val="nil"/>
            </w:tcBorders>
          </w:tcPr>
          <w:p w14:paraId="066BB60A" w14:textId="77777777" w:rsidR="001219B0" w:rsidRPr="001219B0" w:rsidRDefault="001219B0" w:rsidP="001219B0">
            <w:pPr>
              <w:suppressAutoHyphens/>
              <w:spacing w:line="276" w:lineRule="auto"/>
              <w:ind w:left="371" w:right="142"/>
              <w:jc w:val="both"/>
              <w:rPr>
                <w:rFonts w:eastAsia="Arial"/>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6D336004" w14:textId="77777777" w:rsidR="001219B0" w:rsidRPr="001219B0" w:rsidRDefault="001219B0" w:rsidP="001219B0">
            <w:pPr>
              <w:suppressAutoHyphens/>
              <w:spacing w:line="276" w:lineRule="auto"/>
              <w:ind w:left="371" w:right="142"/>
              <w:jc w:val="both"/>
              <w:rPr>
                <w:rFonts w:eastAsia="Arial"/>
                <w:sz w:val="18"/>
                <w:szCs w:val="18"/>
                <w:lang w:eastAsia="en-US"/>
              </w:rPr>
            </w:pPr>
          </w:p>
        </w:tc>
      </w:tr>
      <w:tr w:rsidR="001219B0" w:rsidRPr="001219B0" w14:paraId="4368A302" w14:textId="77777777" w:rsidTr="00AC1ADD">
        <w:tc>
          <w:tcPr>
            <w:tcW w:w="3421" w:type="pct"/>
            <w:tcBorders>
              <w:top w:val="single" w:sz="4" w:space="0" w:color="000000"/>
              <w:left w:val="single" w:sz="4" w:space="0" w:color="000000"/>
              <w:bottom w:val="single" w:sz="4" w:space="0" w:color="000000"/>
              <w:right w:val="nil"/>
            </w:tcBorders>
            <w:hideMark/>
          </w:tcPr>
          <w:p w14:paraId="50C3274E" w14:textId="7754476A" w:rsidR="001219B0" w:rsidRPr="001219B0" w:rsidRDefault="00AA50C7" w:rsidP="001219B0">
            <w:pPr>
              <w:numPr>
                <w:ilvl w:val="0"/>
                <w:numId w:val="1"/>
              </w:numPr>
              <w:tabs>
                <w:tab w:val="clear" w:pos="928"/>
                <w:tab w:val="num" w:pos="720"/>
              </w:tabs>
              <w:suppressAutoHyphens/>
              <w:spacing w:line="276" w:lineRule="auto"/>
              <w:ind w:left="371" w:right="142" w:hanging="284"/>
              <w:jc w:val="both"/>
              <w:rPr>
                <w:rFonts w:eastAsia="Arial"/>
                <w:sz w:val="18"/>
                <w:szCs w:val="18"/>
                <w:lang w:eastAsia="en-US"/>
              </w:rPr>
            </w:pPr>
            <w:r w:rsidRPr="00AA50C7">
              <w:rPr>
                <w:rFonts w:eastAsia="Arial"/>
                <w:sz w:val="18"/>
                <w:szCs w:val="18"/>
                <w:lang w:eastAsia="en-US"/>
              </w:rPr>
              <w:t xml:space="preserve">Consta comprovação do envio dos dados ao SICAP-LCO, respeitando </w:t>
            </w:r>
            <w:r w:rsidRPr="00AA50C7">
              <w:rPr>
                <w:rFonts w:eastAsia="Arial"/>
                <w:b/>
                <w:bCs/>
                <w:sz w:val="18"/>
                <w:szCs w:val="18"/>
                <w:lang w:eastAsia="en-US"/>
              </w:rPr>
              <w:t>o prazo limite de 2 (dois) dias úteis?</w:t>
            </w:r>
            <w:r w:rsidRPr="00AA50C7">
              <w:rPr>
                <w:rFonts w:eastAsia="Arial"/>
                <w:sz w:val="18"/>
                <w:szCs w:val="18"/>
                <w:lang w:eastAsia="en-US"/>
              </w:rPr>
              <w:t xml:space="preserve"> (IN TCE/TO nº 03/2024; art. 47, inciso II do Decreto Orçamentário nº 6.898/25)</w:t>
            </w:r>
          </w:p>
        </w:tc>
        <w:tc>
          <w:tcPr>
            <w:tcW w:w="815" w:type="pct"/>
            <w:tcBorders>
              <w:top w:val="single" w:sz="4" w:space="0" w:color="000000"/>
              <w:left w:val="single" w:sz="4" w:space="0" w:color="000000"/>
              <w:bottom w:val="single" w:sz="4" w:space="0" w:color="000000"/>
              <w:right w:val="nil"/>
            </w:tcBorders>
          </w:tcPr>
          <w:p w14:paraId="69C7C8F4" w14:textId="7DFF5424" w:rsidR="001219B0" w:rsidRPr="001219B0" w:rsidRDefault="001219B0" w:rsidP="001219B0">
            <w:pPr>
              <w:suppressAutoHyphens/>
              <w:spacing w:line="276" w:lineRule="auto"/>
              <w:ind w:left="371" w:right="142"/>
              <w:jc w:val="both"/>
              <w:rPr>
                <w:rFonts w:eastAsia="Arial"/>
                <w:sz w:val="18"/>
                <w:szCs w:val="18"/>
                <w:lang w:eastAsia="en-US"/>
              </w:rPr>
            </w:pPr>
          </w:p>
        </w:tc>
        <w:tc>
          <w:tcPr>
            <w:tcW w:w="431" w:type="pct"/>
            <w:tcBorders>
              <w:top w:val="single" w:sz="4" w:space="0" w:color="000000"/>
              <w:left w:val="single" w:sz="4" w:space="0" w:color="000000"/>
              <w:bottom w:val="single" w:sz="4" w:space="0" w:color="000000"/>
              <w:right w:val="nil"/>
            </w:tcBorders>
          </w:tcPr>
          <w:p w14:paraId="30752EE1" w14:textId="77777777" w:rsidR="001219B0" w:rsidRPr="001219B0" w:rsidRDefault="001219B0" w:rsidP="001219B0">
            <w:pPr>
              <w:suppressAutoHyphens/>
              <w:spacing w:line="276" w:lineRule="auto"/>
              <w:ind w:left="371" w:right="142"/>
              <w:jc w:val="both"/>
              <w:rPr>
                <w:rFonts w:eastAsia="Arial"/>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1A943958" w14:textId="77777777" w:rsidR="001219B0" w:rsidRPr="001219B0" w:rsidRDefault="001219B0" w:rsidP="001219B0">
            <w:pPr>
              <w:suppressAutoHyphens/>
              <w:spacing w:line="276" w:lineRule="auto"/>
              <w:ind w:left="371" w:right="142"/>
              <w:jc w:val="both"/>
              <w:rPr>
                <w:rFonts w:eastAsia="Arial"/>
                <w:sz w:val="18"/>
                <w:szCs w:val="18"/>
                <w:lang w:eastAsia="en-US"/>
              </w:rPr>
            </w:pPr>
          </w:p>
        </w:tc>
      </w:tr>
      <w:tr w:rsidR="001219B0" w:rsidRPr="001219B0" w14:paraId="04F3A85B" w14:textId="77777777" w:rsidTr="00AC1ADD">
        <w:tc>
          <w:tcPr>
            <w:tcW w:w="3421" w:type="pct"/>
            <w:tcBorders>
              <w:top w:val="single" w:sz="4" w:space="0" w:color="000000"/>
              <w:left w:val="single" w:sz="4" w:space="0" w:color="000000"/>
              <w:bottom w:val="single" w:sz="4" w:space="0" w:color="000000"/>
              <w:right w:val="nil"/>
            </w:tcBorders>
            <w:hideMark/>
          </w:tcPr>
          <w:p w14:paraId="20426CDA" w14:textId="2AE6DA42" w:rsidR="001219B0" w:rsidRPr="001219B0" w:rsidRDefault="001219B0" w:rsidP="001219B0">
            <w:pPr>
              <w:numPr>
                <w:ilvl w:val="0"/>
                <w:numId w:val="1"/>
              </w:numPr>
              <w:tabs>
                <w:tab w:val="clear" w:pos="928"/>
                <w:tab w:val="num" w:pos="720"/>
              </w:tabs>
              <w:suppressAutoHyphens/>
              <w:spacing w:line="276" w:lineRule="auto"/>
              <w:ind w:left="371" w:right="142" w:hanging="284"/>
              <w:jc w:val="both"/>
              <w:rPr>
                <w:rFonts w:eastAsia="Arial"/>
                <w:sz w:val="18"/>
                <w:szCs w:val="18"/>
                <w:lang w:eastAsia="en-US"/>
              </w:rPr>
            </w:pPr>
            <w:r w:rsidRPr="001219B0">
              <w:rPr>
                <w:rFonts w:eastAsia="Arial"/>
                <w:sz w:val="18"/>
                <w:szCs w:val="18"/>
                <w:lang w:eastAsia="en-US"/>
              </w:rPr>
              <w:t>Foram inseridas as informações do aditivo no Sistema Integrado de Gestão Administrativa do Estado do Tocantins – SIGA-TO, no módulo “</w:t>
            </w:r>
            <w:r w:rsidRPr="00F67EBE">
              <w:rPr>
                <w:rFonts w:eastAsia="Arial"/>
                <w:b/>
                <w:bCs/>
                <w:sz w:val="18"/>
                <w:szCs w:val="18"/>
                <w:lang w:eastAsia="en-US"/>
              </w:rPr>
              <w:t>Gestão de Contratos</w:t>
            </w:r>
            <w:r w:rsidRPr="001219B0">
              <w:rPr>
                <w:rFonts w:eastAsia="Arial"/>
                <w:sz w:val="18"/>
                <w:szCs w:val="18"/>
                <w:lang w:eastAsia="en-US"/>
              </w:rPr>
              <w:t>”, ou em outro que vier a substituí-lo? (Decreto Estadual nº 6.084/2020)</w:t>
            </w:r>
          </w:p>
        </w:tc>
        <w:tc>
          <w:tcPr>
            <w:tcW w:w="815" w:type="pct"/>
            <w:tcBorders>
              <w:top w:val="single" w:sz="4" w:space="0" w:color="000000"/>
              <w:left w:val="single" w:sz="4" w:space="0" w:color="000000"/>
              <w:bottom w:val="single" w:sz="4" w:space="0" w:color="000000"/>
              <w:right w:val="nil"/>
            </w:tcBorders>
          </w:tcPr>
          <w:p w14:paraId="2F56BAF7" w14:textId="77777777" w:rsidR="001219B0" w:rsidRPr="001219B0" w:rsidRDefault="001219B0" w:rsidP="001219B0">
            <w:pPr>
              <w:suppressAutoHyphens/>
              <w:spacing w:line="276" w:lineRule="auto"/>
              <w:ind w:left="371" w:right="142"/>
              <w:jc w:val="both"/>
              <w:rPr>
                <w:rFonts w:eastAsia="Arial"/>
                <w:sz w:val="18"/>
                <w:szCs w:val="18"/>
                <w:lang w:eastAsia="en-US"/>
              </w:rPr>
            </w:pPr>
          </w:p>
        </w:tc>
        <w:tc>
          <w:tcPr>
            <w:tcW w:w="431" w:type="pct"/>
            <w:tcBorders>
              <w:top w:val="single" w:sz="4" w:space="0" w:color="000000"/>
              <w:left w:val="single" w:sz="4" w:space="0" w:color="000000"/>
              <w:bottom w:val="single" w:sz="4" w:space="0" w:color="000000"/>
              <w:right w:val="nil"/>
            </w:tcBorders>
          </w:tcPr>
          <w:p w14:paraId="2D4F726B" w14:textId="77777777" w:rsidR="001219B0" w:rsidRPr="001219B0" w:rsidRDefault="001219B0" w:rsidP="001219B0">
            <w:pPr>
              <w:suppressAutoHyphens/>
              <w:spacing w:line="276" w:lineRule="auto"/>
              <w:ind w:left="371" w:right="142"/>
              <w:jc w:val="both"/>
              <w:rPr>
                <w:rFonts w:eastAsia="Arial"/>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5BE540CC" w14:textId="77777777" w:rsidR="001219B0" w:rsidRPr="001219B0" w:rsidRDefault="001219B0" w:rsidP="001219B0">
            <w:pPr>
              <w:suppressAutoHyphens/>
              <w:spacing w:line="276" w:lineRule="auto"/>
              <w:ind w:left="371" w:right="142"/>
              <w:jc w:val="both"/>
              <w:rPr>
                <w:rFonts w:eastAsia="Arial"/>
                <w:sz w:val="18"/>
                <w:szCs w:val="18"/>
                <w:lang w:eastAsia="en-US"/>
              </w:rPr>
            </w:pPr>
          </w:p>
        </w:tc>
      </w:tr>
      <w:tr w:rsidR="001219B0" w:rsidRPr="001219B0" w14:paraId="7A45FA34" w14:textId="77777777" w:rsidTr="00F058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7F9A0F" w14:textId="591D392A" w:rsidR="00B76B67" w:rsidRPr="001219B0" w:rsidRDefault="00F058CC" w:rsidP="00745228">
            <w:pPr>
              <w:snapToGrid w:val="0"/>
              <w:spacing w:before="120" w:after="120"/>
              <w:jc w:val="center"/>
              <w:rPr>
                <w:b/>
                <w:bCs/>
                <w:sz w:val="18"/>
                <w:szCs w:val="18"/>
                <w:lang w:eastAsia="en-US"/>
              </w:rPr>
            </w:pPr>
            <w:r w:rsidRPr="001219B0">
              <w:rPr>
                <w:b/>
                <w:bCs/>
                <w:sz w:val="18"/>
                <w:szCs w:val="18"/>
                <w:lang w:eastAsia="en-US"/>
              </w:rPr>
              <w:t xml:space="preserve">ADITIVO DE </w:t>
            </w:r>
            <w:r w:rsidR="00B76B67" w:rsidRPr="001219B0">
              <w:rPr>
                <w:b/>
                <w:bCs/>
                <w:sz w:val="18"/>
                <w:szCs w:val="18"/>
                <w:lang w:eastAsia="en-US"/>
              </w:rPr>
              <w:t>PRORROGAÇÃO DE PRAZO</w:t>
            </w:r>
          </w:p>
        </w:tc>
      </w:tr>
      <w:tr w:rsidR="001219B0" w:rsidRPr="001219B0" w14:paraId="26BCCBE6" w14:textId="77777777" w:rsidTr="00C9131F">
        <w:tc>
          <w:tcPr>
            <w:tcW w:w="5000" w:type="pct"/>
            <w:gridSpan w:val="4"/>
            <w:tcBorders>
              <w:top w:val="single" w:sz="4" w:space="0" w:color="000000"/>
              <w:left w:val="single" w:sz="4" w:space="0" w:color="000000"/>
              <w:bottom w:val="single" w:sz="4" w:space="0" w:color="000000"/>
              <w:right w:val="single" w:sz="4" w:space="0" w:color="000000"/>
            </w:tcBorders>
            <w:hideMark/>
          </w:tcPr>
          <w:p w14:paraId="736C8F27" w14:textId="478D219D" w:rsidR="008E43BE" w:rsidRPr="001219B0" w:rsidRDefault="00125AFE" w:rsidP="00745228">
            <w:pPr>
              <w:numPr>
                <w:ilvl w:val="0"/>
                <w:numId w:val="1"/>
              </w:numPr>
              <w:suppressAutoHyphens/>
              <w:ind w:left="371" w:right="141" w:hanging="284"/>
              <w:jc w:val="both"/>
              <w:rPr>
                <w:rFonts w:eastAsia="Calibri"/>
                <w:sz w:val="18"/>
                <w:szCs w:val="18"/>
                <w:lang w:eastAsia="en-US"/>
              </w:rPr>
            </w:pPr>
            <w:r w:rsidRPr="001219B0">
              <w:rPr>
                <w:rFonts w:eastAsia="Calibri"/>
                <w:sz w:val="18"/>
                <w:szCs w:val="18"/>
                <w:lang w:eastAsia="en-US"/>
              </w:rPr>
              <w:t xml:space="preserve">Se trantando de </w:t>
            </w:r>
            <w:r w:rsidR="003F4677" w:rsidRPr="00F67EBE">
              <w:rPr>
                <w:rFonts w:eastAsia="Calibri"/>
                <w:b/>
                <w:bCs/>
                <w:sz w:val="18"/>
                <w:szCs w:val="18"/>
                <w:lang w:eastAsia="en-US"/>
              </w:rPr>
              <w:t xml:space="preserve">prorrogação </w:t>
            </w:r>
            <w:r w:rsidRPr="00F67EBE">
              <w:rPr>
                <w:rFonts w:eastAsia="Calibri"/>
                <w:b/>
                <w:bCs/>
                <w:sz w:val="18"/>
                <w:szCs w:val="18"/>
                <w:lang w:eastAsia="en-US"/>
              </w:rPr>
              <w:t xml:space="preserve">de </w:t>
            </w:r>
            <w:r w:rsidR="008F10B7" w:rsidRPr="00F67EBE">
              <w:rPr>
                <w:rFonts w:eastAsia="Calibri"/>
                <w:b/>
                <w:bCs/>
                <w:sz w:val="18"/>
                <w:szCs w:val="18"/>
                <w:lang w:eastAsia="en-US"/>
              </w:rPr>
              <w:t>vigência contratual</w:t>
            </w:r>
            <w:r w:rsidR="008F10B7" w:rsidRPr="001219B0">
              <w:rPr>
                <w:rFonts w:eastAsia="Calibri"/>
                <w:sz w:val="18"/>
                <w:szCs w:val="18"/>
                <w:lang w:eastAsia="en-US"/>
              </w:rPr>
              <w:t xml:space="preserve"> </w:t>
            </w:r>
            <w:r w:rsidRPr="001219B0">
              <w:rPr>
                <w:rFonts w:eastAsia="Calibri"/>
                <w:sz w:val="18"/>
                <w:szCs w:val="18"/>
                <w:lang w:eastAsia="en-US"/>
              </w:rPr>
              <w:t xml:space="preserve">para </w:t>
            </w:r>
            <w:r w:rsidR="00D82592" w:rsidRPr="001219B0">
              <w:rPr>
                <w:rFonts w:eastAsia="Calibri"/>
                <w:sz w:val="18"/>
                <w:szCs w:val="18"/>
                <w:lang w:eastAsia="en-US"/>
              </w:rPr>
              <w:t xml:space="preserve">um contrato de </w:t>
            </w:r>
            <w:r w:rsidR="00D82592" w:rsidRPr="00F67EBE">
              <w:rPr>
                <w:rFonts w:eastAsia="Calibri"/>
                <w:b/>
                <w:bCs/>
                <w:sz w:val="18"/>
                <w:szCs w:val="18"/>
                <w:lang w:eastAsia="en-US"/>
              </w:rPr>
              <w:t>serviço continuado</w:t>
            </w:r>
            <w:r w:rsidR="00D82592" w:rsidRPr="001219B0">
              <w:rPr>
                <w:rFonts w:eastAsia="Calibri"/>
                <w:sz w:val="18"/>
                <w:szCs w:val="18"/>
                <w:lang w:eastAsia="en-US"/>
              </w:rPr>
              <w:t xml:space="preserve"> OU exercido de </w:t>
            </w:r>
            <w:r w:rsidR="00D82592" w:rsidRPr="00F67EBE">
              <w:rPr>
                <w:rFonts w:eastAsia="Calibri"/>
                <w:b/>
                <w:bCs/>
                <w:sz w:val="18"/>
                <w:szCs w:val="18"/>
                <w:lang w:eastAsia="en-US"/>
              </w:rPr>
              <w:t>forma contínua</w:t>
            </w:r>
            <w:r w:rsidR="00D82592" w:rsidRPr="001219B0">
              <w:rPr>
                <w:rFonts w:eastAsia="Calibri"/>
                <w:sz w:val="18"/>
                <w:szCs w:val="18"/>
                <w:lang w:eastAsia="en-US"/>
              </w:rPr>
              <w:t xml:space="preserve"> OU de </w:t>
            </w:r>
            <w:r w:rsidR="00D82592" w:rsidRPr="00F67EBE">
              <w:rPr>
                <w:rFonts w:eastAsia="Calibri"/>
                <w:b/>
                <w:bCs/>
                <w:sz w:val="18"/>
                <w:szCs w:val="18"/>
                <w:lang w:eastAsia="en-US"/>
              </w:rPr>
              <w:t>locação de equipamentos</w:t>
            </w:r>
            <w:r w:rsidR="00D82592" w:rsidRPr="001219B0">
              <w:rPr>
                <w:rFonts w:eastAsia="Calibri"/>
                <w:sz w:val="18"/>
                <w:szCs w:val="18"/>
                <w:lang w:eastAsia="en-US"/>
              </w:rPr>
              <w:t xml:space="preserve"> OU utilização de </w:t>
            </w:r>
            <w:r w:rsidR="00D82592" w:rsidRPr="00F67EBE">
              <w:rPr>
                <w:rFonts w:eastAsia="Calibri"/>
                <w:b/>
                <w:bCs/>
                <w:sz w:val="18"/>
                <w:szCs w:val="18"/>
                <w:lang w:eastAsia="en-US"/>
              </w:rPr>
              <w:t>pro</w:t>
            </w:r>
            <w:r w:rsidR="00953EDA" w:rsidRPr="00F67EBE">
              <w:rPr>
                <w:rFonts w:eastAsia="Calibri"/>
                <w:b/>
                <w:bCs/>
                <w:sz w:val="18"/>
                <w:szCs w:val="18"/>
                <w:lang w:eastAsia="en-US"/>
              </w:rPr>
              <w:t>gra</w:t>
            </w:r>
            <w:r w:rsidR="00D82592" w:rsidRPr="00F67EBE">
              <w:rPr>
                <w:rFonts w:eastAsia="Calibri"/>
                <w:b/>
                <w:bCs/>
                <w:sz w:val="18"/>
                <w:szCs w:val="18"/>
                <w:lang w:eastAsia="en-US"/>
              </w:rPr>
              <w:t>mas de informática</w:t>
            </w:r>
            <w:r w:rsidR="00D82592" w:rsidRPr="001219B0">
              <w:rPr>
                <w:rFonts w:eastAsia="Calibri"/>
                <w:sz w:val="18"/>
                <w:szCs w:val="18"/>
                <w:lang w:eastAsia="en-US"/>
              </w:rPr>
              <w:t>,</w:t>
            </w:r>
            <w:r w:rsidR="0055604C" w:rsidRPr="001219B0">
              <w:rPr>
                <w:rFonts w:eastAsia="Calibri"/>
                <w:sz w:val="18"/>
                <w:szCs w:val="18"/>
                <w:lang w:eastAsia="en-US"/>
              </w:rPr>
              <w:t xml:space="preserve"> </w:t>
            </w:r>
            <w:r w:rsidR="00D82592" w:rsidRPr="001219B0">
              <w:rPr>
                <w:rFonts w:eastAsia="Calibri"/>
                <w:sz w:val="18"/>
                <w:szCs w:val="18"/>
                <w:lang w:eastAsia="en-US"/>
              </w:rPr>
              <w:t>observou-se</w:t>
            </w:r>
            <w:r w:rsidR="008E43BE" w:rsidRPr="001219B0">
              <w:rPr>
                <w:rFonts w:eastAsia="Calibri"/>
                <w:sz w:val="18"/>
                <w:szCs w:val="18"/>
                <w:lang w:eastAsia="en-US"/>
              </w:rPr>
              <w:t>:</w:t>
            </w:r>
            <w:r w:rsidR="00097CC2" w:rsidRPr="001219B0">
              <w:rPr>
                <w:rFonts w:eastAsia="Calibri"/>
                <w:sz w:val="18"/>
                <w:szCs w:val="18"/>
                <w:lang w:eastAsia="en-US"/>
              </w:rPr>
              <w:t xml:space="preserve"> </w:t>
            </w:r>
          </w:p>
        </w:tc>
      </w:tr>
      <w:tr w:rsidR="001219B0" w:rsidRPr="001219B0" w14:paraId="108F37EE" w14:textId="77777777" w:rsidTr="00AC1ADD">
        <w:trPr>
          <w:trHeight w:val="617"/>
        </w:trPr>
        <w:tc>
          <w:tcPr>
            <w:tcW w:w="3421" w:type="pct"/>
            <w:tcBorders>
              <w:top w:val="single" w:sz="4" w:space="0" w:color="000000"/>
              <w:left w:val="single" w:sz="4" w:space="0" w:color="000000"/>
              <w:bottom w:val="single" w:sz="4" w:space="0" w:color="000000"/>
              <w:right w:val="nil"/>
            </w:tcBorders>
            <w:hideMark/>
          </w:tcPr>
          <w:p w14:paraId="2E01D5B8" w14:textId="5873BCB1" w:rsidR="00D51B7F" w:rsidRPr="001219B0" w:rsidRDefault="00832192" w:rsidP="00745228">
            <w:pPr>
              <w:numPr>
                <w:ilvl w:val="0"/>
                <w:numId w:val="2"/>
              </w:numPr>
              <w:suppressAutoHyphens/>
              <w:ind w:left="346" w:right="142" w:hanging="284"/>
              <w:jc w:val="both"/>
              <w:rPr>
                <w:rFonts w:eastAsia="Calibri"/>
                <w:sz w:val="18"/>
                <w:szCs w:val="18"/>
                <w:lang w:eastAsia="en-US"/>
              </w:rPr>
            </w:pPr>
            <w:r w:rsidRPr="001219B0">
              <w:rPr>
                <w:rFonts w:eastAsia="Calibri"/>
                <w:sz w:val="18"/>
                <w:szCs w:val="18"/>
                <w:lang w:eastAsia="en-US"/>
              </w:rPr>
              <w:t>A</w:t>
            </w:r>
            <w:r w:rsidR="00157CAB" w:rsidRPr="001219B0">
              <w:rPr>
                <w:rFonts w:eastAsia="Calibri"/>
                <w:sz w:val="18"/>
                <w:szCs w:val="18"/>
                <w:lang w:eastAsia="en-US"/>
              </w:rPr>
              <w:t xml:space="preserve"> </w:t>
            </w:r>
            <w:r w:rsidRPr="001219B0">
              <w:rPr>
                <w:rFonts w:eastAsia="Calibri"/>
                <w:sz w:val="18"/>
                <w:szCs w:val="18"/>
                <w:lang w:eastAsia="en-US"/>
              </w:rPr>
              <w:t xml:space="preserve">prorrogação </w:t>
            </w:r>
            <w:r w:rsidR="00157CAB" w:rsidRPr="001219B0">
              <w:rPr>
                <w:rFonts w:eastAsia="Calibri"/>
                <w:sz w:val="18"/>
                <w:szCs w:val="18"/>
                <w:lang w:eastAsia="en-US"/>
              </w:rPr>
              <w:t xml:space="preserve">está </w:t>
            </w:r>
            <w:r w:rsidR="00097CC2" w:rsidRPr="001219B0">
              <w:rPr>
                <w:rFonts w:eastAsia="Calibri"/>
                <w:sz w:val="18"/>
                <w:szCs w:val="18"/>
                <w:lang w:eastAsia="en-US"/>
              </w:rPr>
              <w:t xml:space="preserve">dentro do </w:t>
            </w:r>
            <w:r w:rsidR="00097CC2" w:rsidRPr="00F67EBE">
              <w:rPr>
                <w:rFonts w:eastAsia="Calibri"/>
                <w:b/>
                <w:bCs/>
                <w:sz w:val="18"/>
                <w:szCs w:val="18"/>
                <w:lang w:eastAsia="en-US"/>
              </w:rPr>
              <w:t>prazo</w:t>
            </w:r>
            <w:r w:rsidR="00CA3EB9" w:rsidRPr="00F67EBE">
              <w:rPr>
                <w:rFonts w:eastAsia="Calibri"/>
                <w:b/>
                <w:bCs/>
                <w:sz w:val="18"/>
                <w:szCs w:val="18"/>
                <w:lang w:eastAsia="en-US"/>
              </w:rPr>
              <w:t xml:space="preserve"> </w:t>
            </w:r>
            <w:r w:rsidR="00157CAB" w:rsidRPr="00F67EBE">
              <w:rPr>
                <w:rFonts w:eastAsia="Calibri"/>
                <w:b/>
                <w:bCs/>
                <w:sz w:val="18"/>
                <w:szCs w:val="18"/>
                <w:lang w:eastAsia="en-US"/>
              </w:rPr>
              <w:t>máximo</w:t>
            </w:r>
            <w:r w:rsidR="00CA3EB9" w:rsidRPr="001219B0">
              <w:rPr>
                <w:rFonts w:eastAsia="Calibri"/>
                <w:sz w:val="18"/>
                <w:szCs w:val="18"/>
                <w:vertAlign w:val="superscript"/>
                <w:lang w:eastAsia="en-US"/>
              </w:rPr>
              <w:footnoteReference w:id="2"/>
            </w:r>
            <w:r w:rsidR="00CA3EB9" w:rsidRPr="001219B0">
              <w:rPr>
                <w:rFonts w:eastAsia="Calibri"/>
                <w:sz w:val="18"/>
                <w:szCs w:val="18"/>
                <w:lang w:eastAsia="en-US"/>
              </w:rPr>
              <w:t xml:space="preserve"> </w:t>
            </w:r>
            <w:r w:rsidR="00097CC2" w:rsidRPr="001219B0">
              <w:rPr>
                <w:rFonts w:eastAsia="Calibri"/>
                <w:sz w:val="18"/>
                <w:szCs w:val="18"/>
                <w:lang w:eastAsia="en-US"/>
              </w:rPr>
              <w:t xml:space="preserve">de </w:t>
            </w:r>
            <w:r w:rsidR="00D82592" w:rsidRPr="001219B0">
              <w:rPr>
                <w:rFonts w:eastAsia="Calibri"/>
                <w:sz w:val="18"/>
                <w:szCs w:val="18"/>
                <w:lang w:eastAsia="en-US"/>
              </w:rPr>
              <w:t>vigência</w:t>
            </w:r>
            <w:r w:rsidR="00960ACB" w:rsidRPr="001219B0">
              <w:rPr>
                <w:rFonts w:eastAsia="Calibri"/>
                <w:sz w:val="18"/>
                <w:szCs w:val="18"/>
                <w:lang w:eastAsia="en-US"/>
              </w:rPr>
              <w:t xml:space="preserve"> </w:t>
            </w:r>
            <w:r w:rsidR="00D82592" w:rsidRPr="001219B0">
              <w:rPr>
                <w:rFonts w:eastAsia="Calibri"/>
                <w:sz w:val="18"/>
                <w:szCs w:val="18"/>
                <w:lang w:eastAsia="en-US"/>
              </w:rPr>
              <w:t xml:space="preserve">previsto em lei, somando os aditivos anteriores? </w:t>
            </w:r>
            <w:r w:rsidR="008F10B7" w:rsidRPr="001219B0">
              <w:rPr>
                <w:rFonts w:eastAsia="Calibri"/>
                <w:sz w:val="18"/>
                <w:szCs w:val="18"/>
                <w:lang w:eastAsia="en-US"/>
              </w:rPr>
              <w:t>(art. 106 “caput” e §2º da Lei Federal nº 14.133/21)</w:t>
            </w:r>
          </w:p>
        </w:tc>
        <w:tc>
          <w:tcPr>
            <w:tcW w:w="815" w:type="pct"/>
            <w:tcBorders>
              <w:top w:val="single" w:sz="4" w:space="0" w:color="000000"/>
              <w:left w:val="single" w:sz="4" w:space="0" w:color="000000"/>
              <w:bottom w:val="single" w:sz="4" w:space="0" w:color="000000"/>
              <w:right w:val="nil"/>
            </w:tcBorders>
          </w:tcPr>
          <w:p w14:paraId="1770B017" w14:textId="77777777" w:rsidR="003F4677" w:rsidRPr="001219B0" w:rsidRDefault="003F4677" w:rsidP="00745228">
            <w:pPr>
              <w:snapToGrid w:val="0"/>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59201754" w14:textId="77777777" w:rsidR="003F4677" w:rsidRPr="001219B0" w:rsidRDefault="003F4677" w:rsidP="00745228">
            <w:pPr>
              <w:snapToGrid w:val="0"/>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3F2BDB77" w14:textId="77777777" w:rsidR="003F4677" w:rsidRPr="001219B0" w:rsidRDefault="003F4677" w:rsidP="00745228">
            <w:pPr>
              <w:snapToGrid w:val="0"/>
              <w:rPr>
                <w:sz w:val="18"/>
                <w:szCs w:val="18"/>
                <w:lang w:eastAsia="en-US"/>
              </w:rPr>
            </w:pPr>
          </w:p>
        </w:tc>
      </w:tr>
      <w:tr w:rsidR="001219B0" w:rsidRPr="001219B0" w14:paraId="48A919C4" w14:textId="77777777" w:rsidTr="00AC1ADD">
        <w:tc>
          <w:tcPr>
            <w:tcW w:w="3421" w:type="pct"/>
            <w:tcBorders>
              <w:top w:val="single" w:sz="4" w:space="0" w:color="000000"/>
              <w:left w:val="single" w:sz="4" w:space="0" w:color="000000"/>
              <w:bottom w:val="single" w:sz="4" w:space="0" w:color="000000"/>
              <w:right w:val="nil"/>
            </w:tcBorders>
          </w:tcPr>
          <w:p w14:paraId="23339887" w14:textId="280AF607" w:rsidR="00D44F87" w:rsidRPr="001219B0" w:rsidRDefault="00D44F87" w:rsidP="00745228">
            <w:pPr>
              <w:numPr>
                <w:ilvl w:val="0"/>
                <w:numId w:val="2"/>
              </w:numPr>
              <w:suppressAutoHyphens/>
              <w:ind w:left="346" w:right="142" w:hanging="284"/>
              <w:jc w:val="both"/>
              <w:rPr>
                <w:rFonts w:eastAsia="Calibri"/>
                <w:sz w:val="18"/>
                <w:szCs w:val="18"/>
                <w:lang w:eastAsia="en-US"/>
              </w:rPr>
            </w:pPr>
            <w:r w:rsidRPr="001219B0">
              <w:rPr>
                <w:rFonts w:eastAsia="Calibri"/>
                <w:sz w:val="18"/>
                <w:szCs w:val="18"/>
                <w:lang w:eastAsia="en-US"/>
              </w:rPr>
              <w:t xml:space="preserve">Consta </w:t>
            </w:r>
            <w:r w:rsidRPr="00F67EBE">
              <w:rPr>
                <w:rFonts w:eastAsia="Calibri"/>
                <w:b/>
                <w:bCs/>
                <w:sz w:val="18"/>
                <w:szCs w:val="18"/>
                <w:lang w:eastAsia="en-US"/>
              </w:rPr>
              <w:t>previsão</w:t>
            </w:r>
            <w:r w:rsidRPr="001219B0">
              <w:rPr>
                <w:rFonts w:eastAsia="Calibri"/>
                <w:sz w:val="18"/>
                <w:szCs w:val="18"/>
                <w:lang w:eastAsia="en-US"/>
              </w:rPr>
              <w:t xml:space="preserve"> </w:t>
            </w:r>
            <w:r w:rsidR="008F10B7" w:rsidRPr="001219B0">
              <w:rPr>
                <w:rFonts w:eastAsia="Calibri"/>
                <w:sz w:val="18"/>
                <w:szCs w:val="18"/>
                <w:lang w:eastAsia="en-US"/>
              </w:rPr>
              <w:t xml:space="preserve">de prorrogação de prazo </w:t>
            </w:r>
            <w:r w:rsidRPr="001219B0">
              <w:rPr>
                <w:rFonts w:eastAsia="Calibri"/>
                <w:sz w:val="18"/>
                <w:szCs w:val="18"/>
                <w:lang w:eastAsia="en-US"/>
              </w:rPr>
              <w:t>no edital</w:t>
            </w:r>
            <w:r w:rsidR="008F10B7" w:rsidRPr="001219B0">
              <w:rPr>
                <w:rFonts w:eastAsia="Calibri"/>
                <w:sz w:val="18"/>
                <w:szCs w:val="18"/>
                <w:lang w:eastAsia="en-US"/>
              </w:rPr>
              <w:t xml:space="preserve"> de licitação e/ou </w:t>
            </w:r>
            <w:r w:rsidRPr="001219B0">
              <w:rPr>
                <w:rFonts w:eastAsia="Calibri"/>
                <w:sz w:val="18"/>
                <w:szCs w:val="18"/>
                <w:lang w:eastAsia="en-US"/>
              </w:rPr>
              <w:t>n</w:t>
            </w:r>
            <w:r w:rsidR="008F10B7" w:rsidRPr="001219B0">
              <w:rPr>
                <w:rFonts w:eastAsia="Calibri"/>
                <w:sz w:val="18"/>
                <w:szCs w:val="18"/>
                <w:lang w:eastAsia="en-US"/>
              </w:rPr>
              <w:t xml:space="preserve">a claúsula </w:t>
            </w:r>
            <w:r w:rsidRPr="001219B0">
              <w:rPr>
                <w:rFonts w:eastAsia="Calibri"/>
                <w:sz w:val="18"/>
                <w:szCs w:val="18"/>
                <w:lang w:eastAsia="en-US"/>
              </w:rPr>
              <w:t>contrat</w:t>
            </w:r>
            <w:r w:rsidR="008F10B7" w:rsidRPr="001219B0">
              <w:rPr>
                <w:rFonts w:eastAsia="Calibri"/>
                <w:sz w:val="18"/>
                <w:szCs w:val="18"/>
                <w:lang w:eastAsia="en-US"/>
              </w:rPr>
              <w:t>ual</w:t>
            </w:r>
            <w:r w:rsidRPr="001219B0">
              <w:rPr>
                <w:rFonts w:eastAsia="Calibri"/>
                <w:sz w:val="18"/>
                <w:szCs w:val="18"/>
                <w:lang w:eastAsia="en-US"/>
              </w:rPr>
              <w:t>?</w:t>
            </w:r>
            <w:r w:rsidR="008F10B7" w:rsidRPr="001219B0">
              <w:rPr>
                <w:rFonts w:eastAsia="Calibri"/>
                <w:sz w:val="18"/>
                <w:szCs w:val="18"/>
                <w:lang w:eastAsia="en-US"/>
              </w:rPr>
              <w:t xml:space="preserve"> (art. 107 da Lei Federal nº 14.133/21)</w:t>
            </w:r>
          </w:p>
        </w:tc>
        <w:tc>
          <w:tcPr>
            <w:tcW w:w="815" w:type="pct"/>
            <w:tcBorders>
              <w:top w:val="single" w:sz="4" w:space="0" w:color="000000"/>
              <w:left w:val="single" w:sz="4" w:space="0" w:color="000000"/>
              <w:bottom w:val="single" w:sz="4" w:space="0" w:color="000000"/>
              <w:right w:val="nil"/>
            </w:tcBorders>
          </w:tcPr>
          <w:p w14:paraId="0D6F2E77" w14:textId="77777777" w:rsidR="00D44F87" w:rsidRPr="001219B0" w:rsidRDefault="00D44F87" w:rsidP="00745228">
            <w:pPr>
              <w:snapToGrid w:val="0"/>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7D564047" w14:textId="77777777" w:rsidR="00D44F87" w:rsidRPr="001219B0" w:rsidRDefault="00D44F87" w:rsidP="00745228">
            <w:pPr>
              <w:snapToGrid w:val="0"/>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70ECD4B5" w14:textId="77777777" w:rsidR="00D44F87" w:rsidRPr="001219B0" w:rsidRDefault="00D44F87" w:rsidP="00745228">
            <w:pPr>
              <w:snapToGrid w:val="0"/>
              <w:rPr>
                <w:sz w:val="18"/>
                <w:szCs w:val="18"/>
                <w:lang w:eastAsia="en-US"/>
              </w:rPr>
            </w:pPr>
          </w:p>
        </w:tc>
      </w:tr>
      <w:tr w:rsidR="001219B0" w:rsidRPr="001219B0" w14:paraId="3CE3B2FB" w14:textId="77777777" w:rsidTr="00AC1ADD">
        <w:tc>
          <w:tcPr>
            <w:tcW w:w="3421" w:type="pct"/>
            <w:tcBorders>
              <w:top w:val="single" w:sz="4" w:space="0" w:color="000000"/>
              <w:left w:val="single" w:sz="4" w:space="0" w:color="000000"/>
              <w:bottom w:val="single" w:sz="4" w:space="0" w:color="000000"/>
              <w:right w:val="nil"/>
            </w:tcBorders>
          </w:tcPr>
          <w:p w14:paraId="005AE11B" w14:textId="78EEAD2D" w:rsidR="00EF5D7A" w:rsidRPr="001219B0" w:rsidRDefault="00EF5D7A" w:rsidP="00745228">
            <w:pPr>
              <w:numPr>
                <w:ilvl w:val="0"/>
                <w:numId w:val="2"/>
              </w:numPr>
              <w:suppressAutoHyphens/>
              <w:ind w:left="346" w:right="142" w:hanging="284"/>
              <w:jc w:val="both"/>
              <w:rPr>
                <w:rFonts w:eastAsia="Calibri"/>
                <w:sz w:val="18"/>
                <w:szCs w:val="18"/>
                <w:lang w:eastAsia="en-US"/>
              </w:rPr>
            </w:pPr>
            <w:r w:rsidRPr="001219B0">
              <w:rPr>
                <w:rFonts w:eastAsia="Calibri"/>
                <w:sz w:val="18"/>
                <w:szCs w:val="18"/>
                <w:lang w:eastAsia="en-US"/>
              </w:rPr>
              <w:t>Consta exist</w:t>
            </w:r>
            <w:r w:rsidR="00AA5FFF" w:rsidRPr="001219B0">
              <w:rPr>
                <w:rFonts w:eastAsia="Calibri"/>
                <w:sz w:val="18"/>
                <w:szCs w:val="18"/>
                <w:lang w:eastAsia="en-US"/>
              </w:rPr>
              <w:t>e</w:t>
            </w:r>
            <w:r w:rsidRPr="001219B0">
              <w:rPr>
                <w:rFonts w:eastAsia="Calibri"/>
                <w:sz w:val="18"/>
                <w:szCs w:val="18"/>
                <w:lang w:eastAsia="en-US"/>
              </w:rPr>
              <w:t>n</w:t>
            </w:r>
            <w:r w:rsidR="00AA5FFF" w:rsidRPr="001219B0">
              <w:rPr>
                <w:rFonts w:eastAsia="Calibri"/>
                <w:sz w:val="18"/>
                <w:szCs w:val="18"/>
                <w:lang w:eastAsia="en-US"/>
              </w:rPr>
              <w:t>te</w:t>
            </w:r>
            <w:r w:rsidRPr="001219B0">
              <w:rPr>
                <w:rFonts w:eastAsia="Calibri"/>
                <w:sz w:val="18"/>
                <w:szCs w:val="18"/>
                <w:lang w:eastAsia="en-US"/>
              </w:rPr>
              <w:t xml:space="preserve"> </w:t>
            </w:r>
            <w:r w:rsidR="00227C95" w:rsidRPr="001219B0">
              <w:rPr>
                <w:rFonts w:eastAsia="Calibri"/>
                <w:sz w:val="18"/>
                <w:szCs w:val="18"/>
                <w:lang w:eastAsia="en-US"/>
              </w:rPr>
              <w:t xml:space="preserve">e </w:t>
            </w:r>
            <w:r w:rsidR="00AA5FFF" w:rsidRPr="001219B0">
              <w:rPr>
                <w:rFonts w:eastAsia="Calibri"/>
                <w:sz w:val="18"/>
                <w:szCs w:val="18"/>
                <w:lang w:eastAsia="en-US"/>
              </w:rPr>
              <w:t xml:space="preserve">a </w:t>
            </w:r>
            <w:r w:rsidR="00227C95" w:rsidRPr="00F67EBE">
              <w:rPr>
                <w:rFonts w:eastAsia="Calibri"/>
                <w:b/>
                <w:bCs/>
                <w:sz w:val="18"/>
                <w:szCs w:val="18"/>
                <w:lang w:eastAsia="en-US"/>
              </w:rPr>
              <w:t xml:space="preserve">previsão </w:t>
            </w:r>
            <w:r w:rsidRPr="00F67EBE">
              <w:rPr>
                <w:rFonts w:eastAsia="Calibri"/>
                <w:b/>
                <w:bCs/>
                <w:sz w:val="18"/>
                <w:szCs w:val="18"/>
                <w:lang w:eastAsia="en-US"/>
              </w:rPr>
              <w:t>de créditos</w:t>
            </w:r>
            <w:r w:rsidRPr="001219B0">
              <w:rPr>
                <w:rFonts w:eastAsia="Calibri"/>
                <w:sz w:val="18"/>
                <w:szCs w:val="18"/>
                <w:lang w:eastAsia="en-US"/>
              </w:rPr>
              <w:t xml:space="preserve"> orçamentários vinculados à contratação para cada início de exercício financeiro? (art. 106, inc. II da Lei Federal nº 14.133/21)</w:t>
            </w:r>
          </w:p>
        </w:tc>
        <w:tc>
          <w:tcPr>
            <w:tcW w:w="815" w:type="pct"/>
            <w:tcBorders>
              <w:top w:val="single" w:sz="4" w:space="0" w:color="000000"/>
              <w:left w:val="single" w:sz="4" w:space="0" w:color="000000"/>
              <w:bottom w:val="single" w:sz="4" w:space="0" w:color="000000"/>
              <w:right w:val="nil"/>
            </w:tcBorders>
          </w:tcPr>
          <w:p w14:paraId="397A8C18" w14:textId="77777777" w:rsidR="00EF5D7A" w:rsidRPr="001219B0" w:rsidRDefault="00EF5D7A" w:rsidP="00745228">
            <w:pPr>
              <w:snapToGrid w:val="0"/>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2D5D52E8" w14:textId="77777777" w:rsidR="00EF5D7A" w:rsidRPr="001219B0" w:rsidRDefault="00EF5D7A" w:rsidP="00745228">
            <w:pPr>
              <w:snapToGrid w:val="0"/>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70425C81" w14:textId="77777777" w:rsidR="00EF5D7A" w:rsidRPr="001219B0" w:rsidRDefault="00EF5D7A" w:rsidP="00745228">
            <w:pPr>
              <w:snapToGrid w:val="0"/>
              <w:rPr>
                <w:sz w:val="18"/>
                <w:szCs w:val="18"/>
                <w:lang w:eastAsia="en-US"/>
              </w:rPr>
            </w:pPr>
          </w:p>
        </w:tc>
      </w:tr>
      <w:tr w:rsidR="001219B0" w:rsidRPr="001219B0" w14:paraId="68D12EEB" w14:textId="77777777" w:rsidTr="00AC1ADD">
        <w:tc>
          <w:tcPr>
            <w:tcW w:w="3421" w:type="pct"/>
            <w:tcBorders>
              <w:top w:val="single" w:sz="4" w:space="0" w:color="000000"/>
              <w:left w:val="single" w:sz="4" w:space="0" w:color="000000"/>
              <w:bottom w:val="single" w:sz="4" w:space="0" w:color="000000"/>
              <w:right w:val="nil"/>
            </w:tcBorders>
          </w:tcPr>
          <w:p w14:paraId="2225E309" w14:textId="70FF32A1" w:rsidR="00CA3EB9" w:rsidRPr="001219B0" w:rsidRDefault="00AA5FFF" w:rsidP="00745228">
            <w:pPr>
              <w:numPr>
                <w:ilvl w:val="0"/>
                <w:numId w:val="2"/>
              </w:numPr>
              <w:suppressAutoHyphens/>
              <w:ind w:left="346" w:right="142" w:hanging="284"/>
              <w:jc w:val="both"/>
              <w:rPr>
                <w:rFonts w:eastAsia="Calibri"/>
                <w:sz w:val="18"/>
                <w:szCs w:val="18"/>
                <w:lang w:eastAsia="en-US"/>
              </w:rPr>
            </w:pPr>
            <w:bookmarkStart w:id="5" w:name="_Hlk184810415"/>
            <w:r w:rsidRPr="001219B0">
              <w:rPr>
                <w:rFonts w:eastAsia="Calibri"/>
                <w:sz w:val="18"/>
                <w:szCs w:val="18"/>
                <w:lang w:eastAsia="en-US"/>
              </w:rPr>
              <w:t>O</w:t>
            </w:r>
            <w:r w:rsidR="005C41FD" w:rsidRPr="001219B0">
              <w:rPr>
                <w:rFonts w:eastAsia="Calibri"/>
                <w:sz w:val="18"/>
                <w:szCs w:val="18"/>
                <w:lang w:eastAsia="en-US"/>
              </w:rPr>
              <w:t xml:space="preserve"> </w:t>
            </w:r>
            <w:r w:rsidR="005C41FD" w:rsidRPr="00F67EBE">
              <w:rPr>
                <w:rFonts w:eastAsia="Calibri"/>
                <w:b/>
                <w:bCs/>
                <w:sz w:val="18"/>
                <w:szCs w:val="18"/>
                <w:lang w:eastAsia="en-US"/>
              </w:rPr>
              <w:t>fiscal ou gestor</w:t>
            </w:r>
            <w:r w:rsidR="005C41FD" w:rsidRPr="001219B0">
              <w:rPr>
                <w:rFonts w:eastAsia="Calibri"/>
                <w:sz w:val="18"/>
                <w:szCs w:val="18"/>
                <w:lang w:eastAsia="en-US"/>
              </w:rPr>
              <w:t xml:space="preserve"> do contrato </w:t>
            </w:r>
            <w:r w:rsidRPr="001219B0">
              <w:rPr>
                <w:rFonts w:eastAsia="Calibri"/>
                <w:sz w:val="18"/>
                <w:szCs w:val="18"/>
                <w:lang w:eastAsia="en-US"/>
              </w:rPr>
              <w:t xml:space="preserve">manifestou </w:t>
            </w:r>
            <w:r w:rsidR="005C41FD" w:rsidRPr="001219B0">
              <w:rPr>
                <w:rFonts w:eastAsia="Calibri"/>
                <w:sz w:val="18"/>
                <w:szCs w:val="18"/>
                <w:lang w:eastAsia="en-US"/>
              </w:rPr>
              <w:t xml:space="preserve">quanto à necessidade da </w:t>
            </w:r>
            <w:r w:rsidR="00227C95" w:rsidRPr="001219B0">
              <w:rPr>
                <w:rFonts w:eastAsia="Calibri"/>
                <w:sz w:val="18"/>
                <w:szCs w:val="18"/>
                <w:lang w:eastAsia="en-US"/>
              </w:rPr>
              <w:t>continuidade contratual</w:t>
            </w:r>
            <w:r w:rsidR="005C41FD" w:rsidRPr="001219B0">
              <w:rPr>
                <w:rFonts w:eastAsia="Calibri"/>
                <w:sz w:val="18"/>
                <w:szCs w:val="18"/>
                <w:lang w:eastAsia="en-US"/>
              </w:rPr>
              <w:t xml:space="preserve">, visando não haver nenhuma </w:t>
            </w:r>
            <w:r w:rsidR="00815F07" w:rsidRPr="001219B0">
              <w:rPr>
                <w:rFonts w:eastAsia="Calibri"/>
                <w:sz w:val="18"/>
                <w:szCs w:val="18"/>
                <w:lang w:eastAsia="en-US"/>
              </w:rPr>
              <w:t>ó</w:t>
            </w:r>
            <w:r w:rsidR="005C41FD" w:rsidRPr="001219B0">
              <w:rPr>
                <w:rFonts w:eastAsia="Calibri"/>
                <w:sz w:val="18"/>
                <w:szCs w:val="18"/>
                <w:lang w:eastAsia="en-US"/>
              </w:rPr>
              <w:t>b</w:t>
            </w:r>
            <w:r w:rsidR="00815F07" w:rsidRPr="001219B0">
              <w:rPr>
                <w:rFonts w:eastAsia="Calibri"/>
                <w:sz w:val="18"/>
                <w:szCs w:val="18"/>
                <w:lang w:eastAsia="en-US"/>
              </w:rPr>
              <w:t>i</w:t>
            </w:r>
            <w:r w:rsidR="005C41FD" w:rsidRPr="001219B0">
              <w:rPr>
                <w:rFonts w:eastAsia="Calibri"/>
                <w:sz w:val="18"/>
                <w:szCs w:val="18"/>
                <w:lang w:eastAsia="en-US"/>
              </w:rPr>
              <w:t>ce contratual</w:t>
            </w:r>
            <w:r w:rsidRPr="001219B0">
              <w:rPr>
                <w:rStyle w:val="Refdenotaderodap"/>
                <w:rFonts w:eastAsia="Calibri"/>
                <w:sz w:val="18"/>
                <w:szCs w:val="18"/>
                <w:lang w:eastAsia="en-US"/>
              </w:rPr>
              <w:footnoteReference w:id="3"/>
            </w:r>
            <w:r w:rsidRPr="001219B0">
              <w:rPr>
                <w:rFonts w:eastAsia="Calibri"/>
                <w:sz w:val="18"/>
                <w:szCs w:val="18"/>
                <w:lang w:eastAsia="en-US"/>
              </w:rPr>
              <w:t>?</w:t>
            </w:r>
            <w:r w:rsidR="00CC1ECB" w:rsidRPr="001219B0">
              <w:rPr>
                <w:rFonts w:eastAsia="Calibri"/>
                <w:sz w:val="18"/>
                <w:szCs w:val="18"/>
                <w:lang w:eastAsia="en-US"/>
              </w:rPr>
              <w:t xml:space="preserve"> (art. 123, parágrafo único da Lei Federal nº 14.133/21)</w:t>
            </w:r>
          </w:p>
        </w:tc>
        <w:tc>
          <w:tcPr>
            <w:tcW w:w="815" w:type="pct"/>
            <w:tcBorders>
              <w:top w:val="single" w:sz="4" w:space="0" w:color="000000"/>
              <w:left w:val="single" w:sz="4" w:space="0" w:color="000000"/>
              <w:bottom w:val="single" w:sz="4" w:space="0" w:color="000000"/>
              <w:right w:val="nil"/>
            </w:tcBorders>
          </w:tcPr>
          <w:p w14:paraId="22839E92" w14:textId="77777777" w:rsidR="00CA3EB9" w:rsidRPr="001219B0" w:rsidRDefault="00CA3EB9" w:rsidP="00745228">
            <w:pPr>
              <w:snapToGrid w:val="0"/>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2E6719C3" w14:textId="77777777" w:rsidR="00CA3EB9" w:rsidRPr="001219B0" w:rsidRDefault="00CA3EB9" w:rsidP="00745228">
            <w:pPr>
              <w:snapToGrid w:val="0"/>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445415B2" w14:textId="77777777" w:rsidR="00CA3EB9" w:rsidRPr="001219B0" w:rsidRDefault="00CA3EB9" w:rsidP="00745228">
            <w:pPr>
              <w:snapToGrid w:val="0"/>
              <w:rPr>
                <w:sz w:val="18"/>
                <w:szCs w:val="18"/>
                <w:lang w:eastAsia="en-US"/>
              </w:rPr>
            </w:pPr>
          </w:p>
        </w:tc>
      </w:tr>
      <w:bookmarkEnd w:id="5"/>
      <w:tr w:rsidR="001219B0" w:rsidRPr="001219B0" w14:paraId="1F2C4D91" w14:textId="77777777" w:rsidTr="00AC1ADD">
        <w:tc>
          <w:tcPr>
            <w:tcW w:w="3421" w:type="pct"/>
            <w:tcBorders>
              <w:top w:val="single" w:sz="4" w:space="0" w:color="000000"/>
              <w:left w:val="single" w:sz="4" w:space="0" w:color="000000"/>
              <w:bottom w:val="single" w:sz="4" w:space="0" w:color="000000"/>
              <w:right w:val="nil"/>
            </w:tcBorders>
          </w:tcPr>
          <w:p w14:paraId="09CF5792" w14:textId="19D2F31C" w:rsidR="00CC1ECB" w:rsidRPr="001219B0" w:rsidRDefault="00815F07" w:rsidP="00745228">
            <w:pPr>
              <w:numPr>
                <w:ilvl w:val="0"/>
                <w:numId w:val="2"/>
              </w:numPr>
              <w:suppressAutoHyphens/>
              <w:ind w:left="346" w:right="142" w:hanging="284"/>
              <w:jc w:val="both"/>
              <w:rPr>
                <w:rFonts w:eastAsia="Calibri"/>
                <w:sz w:val="18"/>
                <w:szCs w:val="18"/>
                <w:lang w:eastAsia="en-US"/>
              </w:rPr>
            </w:pPr>
            <w:r w:rsidRPr="001219B0">
              <w:rPr>
                <w:rFonts w:eastAsia="Calibri"/>
                <w:sz w:val="18"/>
                <w:szCs w:val="18"/>
                <w:lang w:eastAsia="en-US"/>
              </w:rPr>
              <w:t xml:space="preserve">Consta realizado </w:t>
            </w:r>
            <w:r w:rsidR="00AA5FFF" w:rsidRPr="00AC1ADD">
              <w:rPr>
                <w:rFonts w:eastAsia="Calibri"/>
                <w:b/>
                <w:bCs/>
                <w:sz w:val="18"/>
                <w:szCs w:val="18"/>
                <w:lang w:eastAsia="en-US"/>
              </w:rPr>
              <w:t>nova pesquisa de preços</w:t>
            </w:r>
            <w:r w:rsidR="00AA5FFF" w:rsidRPr="001219B0">
              <w:rPr>
                <w:rFonts w:eastAsia="Calibri"/>
                <w:sz w:val="18"/>
                <w:szCs w:val="18"/>
                <w:lang w:eastAsia="en-US"/>
              </w:rPr>
              <w:t xml:space="preserve"> </w:t>
            </w:r>
            <w:r w:rsidRPr="001219B0">
              <w:rPr>
                <w:rFonts w:eastAsia="Calibri"/>
                <w:sz w:val="18"/>
                <w:szCs w:val="18"/>
                <w:lang w:eastAsia="en-US"/>
              </w:rPr>
              <w:t xml:space="preserve">a fim de </w:t>
            </w:r>
            <w:r w:rsidR="00AA5FFF" w:rsidRPr="001219B0">
              <w:rPr>
                <w:rFonts w:eastAsia="Calibri"/>
                <w:sz w:val="18"/>
                <w:szCs w:val="18"/>
                <w:lang w:eastAsia="en-US"/>
              </w:rPr>
              <w:t>verificar a</w:t>
            </w:r>
            <w:r w:rsidRPr="001219B0">
              <w:rPr>
                <w:rFonts w:eastAsia="Calibri"/>
                <w:sz w:val="18"/>
                <w:szCs w:val="18"/>
                <w:lang w:eastAsia="en-US"/>
              </w:rPr>
              <w:t>s</w:t>
            </w:r>
            <w:r w:rsidR="00AA5FFF" w:rsidRPr="001219B0">
              <w:rPr>
                <w:rFonts w:eastAsia="Calibri"/>
                <w:sz w:val="18"/>
                <w:szCs w:val="18"/>
                <w:lang w:eastAsia="en-US"/>
              </w:rPr>
              <w:t xml:space="preserve"> </w:t>
            </w:r>
            <w:r w:rsidRPr="001219B0">
              <w:rPr>
                <w:rFonts w:eastAsia="Calibri"/>
                <w:sz w:val="18"/>
                <w:szCs w:val="18"/>
                <w:lang w:eastAsia="en-US"/>
              </w:rPr>
              <w:t xml:space="preserve">condições e os preços permanecem </w:t>
            </w:r>
            <w:r w:rsidR="00AA5FFF" w:rsidRPr="001219B0">
              <w:rPr>
                <w:rFonts w:eastAsia="Calibri"/>
                <w:sz w:val="18"/>
                <w:szCs w:val="18"/>
                <w:lang w:eastAsia="en-US"/>
              </w:rPr>
              <w:t>vantajos</w:t>
            </w:r>
            <w:r w:rsidRPr="001219B0">
              <w:rPr>
                <w:rFonts w:eastAsia="Calibri"/>
                <w:sz w:val="18"/>
                <w:szCs w:val="18"/>
                <w:lang w:eastAsia="en-US"/>
              </w:rPr>
              <w:t xml:space="preserve">os para </w:t>
            </w:r>
            <w:r w:rsidR="00CC1ECB" w:rsidRPr="001219B0">
              <w:rPr>
                <w:rFonts w:eastAsia="Calibri"/>
                <w:sz w:val="18"/>
                <w:szCs w:val="18"/>
                <w:lang w:eastAsia="en-US"/>
              </w:rPr>
              <w:t xml:space="preserve">a Administração? </w:t>
            </w:r>
            <w:r w:rsidRPr="001219B0">
              <w:rPr>
                <w:rFonts w:eastAsia="Calibri"/>
                <w:sz w:val="18"/>
                <w:szCs w:val="18"/>
                <w:lang w:eastAsia="en-US"/>
              </w:rPr>
              <w:t>(art. 107 da Lei Federal nº 14.133/21)</w:t>
            </w:r>
          </w:p>
        </w:tc>
        <w:tc>
          <w:tcPr>
            <w:tcW w:w="815" w:type="pct"/>
            <w:tcBorders>
              <w:top w:val="single" w:sz="4" w:space="0" w:color="000000"/>
              <w:left w:val="single" w:sz="4" w:space="0" w:color="000000"/>
              <w:bottom w:val="single" w:sz="4" w:space="0" w:color="000000"/>
              <w:right w:val="nil"/>
            </w:tcBorders>
          </w:tcPr>
          <w:p w14:paraId="725F42EB" w14:textId="77777777" w:rsidR="00CC1ECB" w:rsidRPr="001219B0" w:rsidRDefault="00CC1ECB" w:rsidP="00745228">
            <w:pPr>
              <w:snapToGrid w:val="0"/>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4B972B21" w14:textId="77777777" w:rsidR="00CC1ECB" w:rsidRPr="001219B0" w:rsidRDefault="00CC1ECB" w:rsidP="00745228">
            <w:pPr>
              <w:snapToGrid w:val="0"/>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015E7146" w14:textId="77777777" w:rsidR="00CC1ECB" w:rsidRPr="001219B0" w:rsidRDefault="00CC1ECB" w:rsidP="00745228">
            <w:pPr>
              <w:snapToGrid w:val="0"/>
              <w:rPr>
                <w:sz w:val="18"/>
                <w:szCs w:val="18"/>
                <w:lang w:eastAsia="en-US"/>
              </w:rPr>
            </w:pPr>
          </w:p>
        </w:tc>
      </w:tr>
      <w:tr w:rsidR="001219B0" w:rsidRPr="001219B0" w14:paraId="535F38C2" w14:textId="77777777" w:rsidTr="00AC1ADD">
        <w:tc>
          <w:tcPr>
            <w:tcW w:w="3421" w:type="pct"/>
            <w:tcBorders>
              <w:top w:val="single" w:sz="4" w:space="0" w:color="000000"/>
              <w:left w:val="single" w:sz="4" w:space="0" w:color="000000"/>
              <w:bottom w:val="single" w:sz="4" w:space="0" w:color="000000"/>
              <w:right w:val="nil"/>
            </w:tcBorders>
          </w:tcPr>
          <w:p w14:paraId="35E89A6E" w14:textId="5FE1C1BB" w:rsidR="00240D52" w:rsidRPr="001219B0" w:rsidRDefault="008A52CD" w:rsidP="00745228">
            <w:pPr>
              <w:numPr>
                <w:ilvl w:val="0"/>
                <w:numId w:val="2"/>
              </w:numPr>
              <w:suppressAutoHyphens/>
              <w:ind w:left="346" w:right="142" w:hanging="284"/>
              <w:jc w:val="both"/>
              <w:rPr>
                <w:rFonts w:eastAsia="Calibri"/>
                <w:sz w:val="18"/>
                <w:szCs w:val="18"/>
                <w:lang w:eastAsia="en-US"/>
              </w:rPr>
            </w:pPr>
            <w:r w:rsidRPr="001219B0">
              <w:rPr>
                <w:rFonts w:eastAsia="Calibri"/>
                <w:sz w:val="18"/>
                <w:szCs w:val="18"/>
                <w:lang w:eastAsia="en-US"/>
              </w:rPr>
              <w:t xml:space="preserve">Consta </w:t>
            </w:r>
            <w:r w:rsidR="00CE474B" w:rsidRPr="001219B0">
              <w:rPr>
                <w:rFonts w:eastAsia="Calibri"/>
                <w:sz w:val="18"/>
                <w:szCs w:val="18"/>
                <w:lang w:eastAsia="en-US"/>
              </w:rPr>
              <w:t>manifeste expresso do interesse</w:t>
            </w:r>
            <w:r w:rsidRPr="001219B0">
              <w:rPr>
                <w:rStyle w:val="Refdenotaderodap"/>
                <w:rFonts w:eastAsia="Calibri"/>
                <w:sz w:val="18"/>
                <w:szCs w:val="18"/>
                <w:lang w:eastAsia="en-US"/>
              </w:rPr>
              <w:footnoteReference w:id="4"/>
            </w:r>
            <w:r w:rsidR="00240D52" w:rsidRPr="001219B0">
              <w:rPr>
                <w:rFonts w:eastAsia="Calibri"/>
                <w:sz w:val="18"/>
                <w:szCs w:val="18"/>
                <w:lang w:eastAsia="en-US"/>
              </w:rPr>
              <w:t xml:space="preserve"> do </w:t>
            </w:r>
            <w:r w:rsidR="00240D52" w:rsidRPr="00AC1ADD">
              <w:rPr>
                <w:rFonts w:eastAsia="Calibri"/>
                <w:b/>
                <w:bCs/>
                <w:sz w:val="18"/>
                <w:szCs w:val="18"/>
                <w:lang w:eastAsia="en-US"/>
              </w:rPr>
              <w:t>contratado</w:t>
            </w:r>
            <w:r w:rsidRPr="00AC1ADD">
              <w:rPr>
                <w:rFonts w:eastAsia="Calibri"/>
                <w:b/>
                <w:bCs/>
                <w:sz w:val="18"/>
                <w:szCs w:val="18"/>
                <w:lang w:eastAsia="en-US"/>
              </w:rPr>
              <w:t xml:space="preserve"> </w:t>
            </w:r>
            <w:r w:rsidR="00CE474B" w:rsidRPr="00AC1ADD">
              <w:rPr>
                <w:rFonts w:eastAsia="Calibri"/>
                <w:b/>
                <w:bCs/>
                <w:sz w:val="18"/>
                <w:szCs w:val="18"/>
                <w:lang w:eastAsia="en-US"/>
              </w:rPr>
              <w:t xml:space="preserve">em prorrogar o </w:t>
            </w:r>
            <w:r w:rsidRPr="00AC1ADD">
              <w:rPr>
                <w:rFonts w:eastAsia="Calibri"/>
                <w:b/>
                <w:bCs/>
                <w:sz w:val="18"/>
                <w:szCs w:val="18"/>
                <w:lang w:eastAsia="en-US"/>
              </w:rPr>
              <w:t>contrat</w:t>
            </w:r>
            <w:r w:rsidR="00CE474B" w:rsidRPr="00AC1ADD">
              <w:rPr>
                <w:rFonts w:eastAsia="Calibri"/>
                <w:b/>
                <w:bCs/>
                <w:sz w:val="18"/>
                <w:szCs w:val="18"/>
                <w:lang w:eastAsia="en-US"/>
              </w:rPr>
              <w:t>o</w:t>
            </w:r>
            <w:r w:rsidR="00240D52" w:rsidRPr="001219B0">
              <w:rPr>
                <w:rFonts w:eastAsia="Calibri"/>
                <w:sz w:val="18"/>
                <w:szCs w:val="18"/>
                <w:lang w:eastAsia="en-US"/>
              </w:rPr>
              <w:t>?</w:t>
            </w:r>
            <w:r w:rsidRPr="001219B0">
              <w:rPr>
                <w:rFonts w:eastAsia="Calibri"/>
                <w:sz w:val="18"/>
                <w:szCs w:val="18"/>
                <w:lang w:eastAsia="en-US"/>
              </w:rPr>
              <w:t xml:space="preserve"> (art. 104, §1º da Lei Federal nº 14.133/21)</w:t>
            </w:r>
          </w:p>
        </w:tc>
        <w:tc>
          <w:tcPr>
            <w:tcW w:w="815" w:type="pct"/>
            <w:tcBorders>
              <w:top w:val="single" w:sz="4" w:space="0" w:color="000000"/>
              <w:left w:val="single" w:sz="4" w:space="0" w:color="000000"/>
              <w:bottom w:val="single" w:sz="4" w:space="0" w:color="000000"/>
              <w:right w:val="nil"/>
            </w:tcBorders>
          </w:tcPr>
          <w:p w14:paraId="37794135" w14:textId="77777777" w:rsidR="00240D52" w:rsidRPr="001219B0" w:rsidRDefault="00240D52" w:rsidP="00745228">
            <w:pPr>
              <w:snapToGrid w:val="0"/>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41C76086" w14:textId="77777777" w:rsidR="00240D52" w:rsidRPr="001219B0" w:rsidRDefault="00240D52" w:rsidP="00745228">
            <w:pPr>
              <w:snapToGrid w:val="0"/>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18CEDF75" w14:textId="77777777" w:rsidR="00240D52" w:rsidRPr="001219B0" w:rsidRDefault="00240D52" w:rsidP="00745228">
            <w:pPr>
              <w:snapToGrid w:val="0"/>
              <w:rPr>
                <w:sz w:val="18"/>
                <w:szCs w:val="18"/>
                <w:lang w:eastAsia="en-US"/>
              </w:rPr>
            </w:pPr>
          </w:p>
        </w:tc>
      </w:tr>
      <w:tr w:rsidR="001219B0" w:rsidRPr="001219B0" w14:paraId="7DED0402" w14:textId="77777777" w:rsidTr="008D2067">
        <w:trPr>
          <w:trHeight w:val="346"/>
        </w:trPr>
        <w:tc>
          <w:tcPr>
            <w:tcW w:w="5000" w:type="pct"/>
            <w:gridSpan w:val="4"/>
            <w:tcBorders>
              <w:top w:val="single" w:sz="4" w:space="0" w:color="000000"/>
              <w:left w:val="single" w:sz="4" w:space="0" w:color="000000"/>
              <w:bottom w:val="single" w:sz="4" w:space="0" w:color="000000"/>
              <w:right w:val="single" w:sz="4" w:space="0" w:color="000000"/>
            </w:tcBorders>
          </w:tcPr>
          <w:p w14:paraId="23EAB34B" w14:textId="1C5FA723" w:rsidR="00EA216A" w:rsidRPr="001219B0" w:rsidRDefault="00EA216A" w:rsidP="00745228">
            <w:pPr>
              <w:snapToGrid w:val="0"/>
              <w:jc w:val="both"/>
              <w:rPr>
                <w:sz w:val="18"/>
                <w:szCs w:val="18"/>
                <w:lang w:eastAsia="en-US"/>
              </w:rPr>
            </w:pPr>
            <w:r w:rsidRPr="001219B0">
              <w:rPr>
                <w:sz w:val="18"/>
                <w:szCs w:val="18"/>
                <w:lang w:eastAsia="en-US"/>
              </w:rPr>
              <w:t>ATENÇÃO!</w:t>
            </w:r>
            <w:r w:rsidR="009B351F" w:rsidRPr="001219B0">
              <w:rPr>
                <w:sz w:val="18"/>
                <w:szCs w:val="18"/>
                <w:lang w:eastAsia="en-US"/>
              </w:rPr>
              <w:t xml:space="preserve"> Contrato em decorrência de emergência ou calamidade possui prazo legal de no</w:t>
            </w:r>
            <w:r w:rsidR="009B351F" w:rsidRPr="001219B0">
              <w:rPr>
                <w:b/>
                <w:bCs/>
                <w:sz w:val="18"/>
                <w:szCs w:val="18"/>
                <w:lang w:eastAsia="en-US"/>
              </w:rPr>
              <w:t xml:space="preserve"> máximo de 1 (um) ano</w:t>
            </w:r>
            <w:r w:rsidR="009B351F" w:rsidRPr="001219B0">
              <w:rPr>
                <w:sz w:val="18"/>
                <w:szCs w:val="18"/>
                <w:lang w:eastAsia="en-US"/>
              </w:rPr>
              <w:t xml:space="preserve">, contado da data de ocorrência da emergência ou da calamidade, </w:t>
            </w:r>
            <w:r w:rsidR="009B351F" w:rsidRPr="001219B0">
              <w:rPr>
                <w:b/>
                <w:bCs/>
                <w:sz w:val="18"/>
                <w:szCs w:val="18"/>
                <w:lang w:eastAsia="en-US"/>
              </w:rPr>
              <w:t xml:space="preserve">vedadas a prorrogação dos respectivos contratos e a recontratação de empresa já contratada com base no disposto </w:t>
            </w:r>
            <w:r w:rsidR="00745228" w:rsidRPr="001219B0">
              <w:rPr>
                <w:b/>
                <w:bCs/>
                <w:sz w:val="18"/>
                <w:szCs w:val="18"/>
                <w:lang w:eastAsia="en-US"/>
              </w:rPr>
              <w:t xml:space="preserve">no </w:t>
            </w:r>
            <w:r w:rsidR="009B351F" w:rsidRPr="001219B0">
              <w:rPr>
                <w:b/>
                <w:bCs/>
                <w:sz w:val="18"/>
                <w:szCs w:val="18"/>
                <w:lang w:eastAsia="en-US"/>
              </w:rPr>
              <w:t>inciso</w:t>
            </w:r>
            <w:r w:rsidR="009B351F" w:rsidRPr="001219B0">
              <w:rPr>
                <w:sz w:val="18"/>
                <w:szCs w:val="18"/>
                <w:lang w:eastAsia="en-US"/>
              </w:rPr>
              <w:t xml:space="preserve"> </w:t>
            </w:r>
            <w:r w:rsidR="00745228" w:rsidRPr="001219B0">
              <w:rPr>
                <w:sz w:val="18"/>
                <w:szCs w:val="18"/>
                <w:lang w:eastAsia="en-US"/>
              </w:rPr>
              <w:t xml:space="preserve">VIII do art. 75 da </w:t>
            </w:r>
            <w:r w:rsidR="009B351F" w:rsidRPr="001219B0">
              <w:rPr>
                <w:sz w:val="18"/>
                <w:szCs w:val="18"/>
                <w:lang w:eastAsia="en-US"/>
              </w:rPr>
              <w:t xml:space="preserve">Lei </w:t>
            </w:r>
            <w:r w:rsidR="00745228" w:rsidRPr="001219B0">
              <w:rPr>
                <w:sz w:val="18"/>
                <w:szCs w:val="18"/>
                <w:lang w:eastAsia="en-US"/>
              </w:rPr>
              <w:t xml:space="preserve">Federal nº </w:t>
            </w:r>
            <w:r w:rsidR="009B351F" w:rsidRPr="001219B0">
              <w:rPr>
                <w:sz w:val="18"/>
                <w:szCs w:val="18"/>
                <w:lang w:eastAsia="en-US"/>
              </w:rPr>
              <w:t>14.133/2</w:t>
            </w:r>
            <w:r w:rsidR="00745228" w:rsidRPr="001219B0">
              <w:rPr>
                <w:sz w:val="18"/>
                <w:szCs w:val="18"/>
                <w:lang w:eastAsia="en-US"/>
              </w:rPr>
              <w:t>1</w:t>
            </w:r>
            <w:r w:rsidR="00745228" w:rsidRPr="001219B0">
              <w:rPr>
                <w:rStyle w:val="Refdenotaderodap"/>
                <w:sz w:val="18"/>
                <w:szCs w:val="18"/>
                <w:lang w:eastAsia="en-US"/>
              </w:rPr>
              <w:footnoteReference w:id="5"/>
            </w:r>
          </w:p>
        </w:tc>
      </w:tr>
      <w:tr w:rsidR="001219B0" w:rsidRPr="001219B0" w14:paraId="20C9F6EB" w14:textId="77777777" w:rsidTr="008A52CD">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73567D" w14:textId="5B448A05" w:rsidR="00B76B67" w:rsidRPr="001219B0" w:rsidRDefault="008A52CD" w:rsidP="008A52CD">
            <w:pPr>
              <w:snapToGrid w:val="0"/>
              <w:spacing w:before="120" w:after="120"/>
              <w:jc w:val="center"/>
              <w:rPr>
                <w:b/>
                <w:bCs/>
                <w:sz w:val="18"/>
                <w:szCs w:val="18"/>
                <w:lang w:eastAsia="en-US"/>
              </w:rPr>
            </w:pPr>
            <w:r w:rsidRPr="001219B0">
              <w:rPr>
                <w:b/>
                <w:bCs/>
                <w:sz w:val="18"/>
                <w:szCs w:val="18"/>
                <w:lang w:eastAsia="en-US"/>
              </w:rPr>
              <w:lastRenderedPageBreak/>
              <w:t xml:space="preserve">ADITIVO POR </w:t>
            </w:r>
            <w:r w:rsidR="00B76B67" w:rsidRPr="001219B0">
              <w:rPr>
                <w:b/>
                <w:bCs/>
                <w:sz w:val="18"/>
                <w:szCs w:val="18"/>
                <w:lang w:eastAsia="en-US"/>
              </w:rPr>
              <w:t>ACRESCIMOS OU SUPRESSÕES</w:t>
            </w:r>
          </w:p>
        </w:tc>
      </w:tr>
      <w:tr w:rsidR="001219B0" w:rsidRPr="001219B0" w14:paraId="59B26AFC" w14:textId="77777777" w:rsidTr="008A52CD">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21A5336C" w14:textId="667F441F" w:rsidR="008E0927" w:rsidRPr="001219B0" w:rsidRDefault="008A52CD" w:rsidP="00AC1ADD">
            <w:pPr>
              <w:pStyle w:val="PargrafodaLista"/>
              <w:numPr>
                <w:ilvl w:val="0"/>
                <w:numId w:val="15"/>
              </w:numPr>
              <w:ind w:left="351"/>
              <w:jc w:val="both"/>
              <w:rPr>
                <w:rFonts w:eastAsia="Calibri"/>
                <w:sz w:val="18"/>
                <w:szCs w:val="18"/>
                <w:lang w:eastAsia="en-US"/>
              </w:rPr>
            </w:pPr>
            <w:r w:rsidRPr="001219B0">
              <w:rPr>
                <w:rFonts w:eastAsia="Calibri"/>
                <w:sz w:val="18"/>
                <w:szCs w:val="18"/>
                <w:lang w:eastAsia="en-US"/>
              </w:rPr>
              <w:t xml:space="preserve">Se tratando de </w:t>
            </w:r>
            <w:r w:rsidR="008E0927" w:rsidRPr="001219B0">
              <w:rPr>
                <w:rFonts w:eastAsia="Calibri"/>
                <w:sz w:val="18"/>
                <w:szCs w:val="18"/>
                <w:lang w:eastAsia="en-US"/>
              </w:rPr>
              <w:t>alteraç</w:t>
            </w:r>
            <w:r w:rsidR="00E24B7F" w:rsidRPr="001219B0">
              <w:rPr>
                <w:rFonts w:eastAsia="Calibri"/>
                <w:sz w:val="18"/>
                <w:szCs w:val="18"/>
                <w:lang w:eastAsia="en-US"/>
              </w:rPr>
              <w:t xml:space="preserve">ões </w:t>
            </w:r>
            <w:r w:rsidR="003F4677" w:rsidRPr="001219B0">
              <w:rPr>
                <w:rFonts w:eastAsia="Calibri"/>
                <w:b/>
                <w:bCs/>
                <w:sz w:val="18"/>
                <w:szCs w:val="18"/>
                <w:lang w:eastAsia="en-US"/>
              </w:rPr>
              <w:t>unilatera</w:t>
            </w:r>
            <w:r w:rsidR="0088205C">
              <w:rPr>
                <w:rFonts w:eastAsia="Calibri"/>
                <w:b/>
                <w:bCs/>
                <w:sz w:val="18"/>
                <w:szCs w:val="18"/>
                <w:lang w:eastAsia="en-US"/>
              </w:rPr>
              <w:t>is</w:t>
            </w:r>
            <w:r w:rsidR="003F4677" w:rsidRPr="001219B0">
              <w:rPr>
                <w:rFonts w:eastAsia="Calibri"/>
                <w:b/>
                <w:bCs/>
                <w:sz w:val="18"/>
                <w:szCs w:val="18"/>
                <w:lang w:eastAsia="en-US"/>
              </w:rPr>
              <w:t xml:space="preserve"> pela Administração</w:t>
            </w:r>
            <w:r w:rsidR="008E0927" w:rsidRPr="001219B0">
              <w:rPr>
                <w:rFonts w:eastAsia="Calibri"/>
                <w:sz w:val="18"/>
                <w:szCs w:val="18"/>
                <w:lang w:eastAsia="en-US"/>
              </w:rPr>
              <w:t>, foi observad</w:t>
            </w:r>
            <w:r w:rsidR="00097CC2" w:rsidRPr="001219B0">
              <w:rPr>
                <w:rFonts w:eastAsia="Calibri"/>
                <w:sz w:val="18"/>
                <w:szCs w:val="18"/>
                <w:lang w:eastAsia="en-US"/>
              </w:rPr>
              <w:t>as as regras dos arts</w:t>
            </w:r>
            <w:r w:rsidR="00E24B7F" w:rsidRPr="001219B0">
              <w:rPr>
                <w:rFonts w:eastAsia="Calibri"/>
                <w:sz w:val="18"/>
                <w:szCs w:val="18"/>
                <w:lang w:eastAsia="en-US"/>
              </w:rPr>
              <w:t>.</w:t>
            </w:r>
            <w:r w:rsidR="00097CC2" w:rsidRPr="001219B0">
              <w:rPr>
                <w:rFonts w:eastAsia="Calibri"/>
                <w:sz w:val="18"/>
                <w:szCs w:val="18"/>
                <w:lang w:eastAsia="en-US"/>
              </w:rPr>
              <w:t xml:space="preserve"> 125 e 126 da Lei</w:t>
            </w:r>
            <w:r w:rsidR="00E24B7F" w:rsidRPr="001219B0">
              <w:rPr>
                <w:rFonts w:eastAsia="Calibri"/>
                <w:sz w:val="18"/>
                <w:szCs w:val="18"/>
                <w:lang w:eastAsia="en-US"/>
              </w:rPr>
              <w:t xml:space="preserve"> Federal nº</w:t>
            </w:r>
            <w:r w:rsidR="00097CC2" w:rsidRPr="001219B0">
              <w:rPr>
                <w:rFonts w:eastAsia="Calibri"/>
                <w:sz w:val="18"/>
                <w:szCs w:val="18"/>
                <w:lang w:eastAsia="en-US"/>
              </w:rPr>
              <w:t xml:space="preserve"> 14.133/21.</w:t>
            </w:r>
            <w:r w:rsidR="003F4677" w:rsidRPr="001219B0">
              <w:rPr>
                <w:rFonts w:eastAsia="Calibri"/>
                <w:sz w:val="18"/>
                <w:szCs w:val="18"/>
                <w:lang w:eastAsia="en-US"/>
              </w:rPr>
              <w:t xml:space="preserve"> </w:t>
            </w:r>
            <w:r w:rsidR="00E24B7F" w:rsidRPr="001219B0">
              <w:rPr>
                <w:rFonts w:eastAsia="Calibri"/>
                <w:sz w:val="18"/>
                <w:szCs w:val="18"/>
                <w:lang w:eastAsia="en-US"/>
              </w:rPr>
              <w:t>(art</w:t>
            </w:r>
            <w:r w:rsidR="00B80301" w:rsidRPr="001219B0">
              <w:rPr>
                <w:rFonts w:eastAsia="Calibri"/>
                <w:sz w:val="18"/>
                <w:szCs w:val="18"/>
                <w:lang w:eastAsia="en-US"/>
              </w:rPr>
              <w:t>.</w:t>
            </w:r>
            <w:r w:rsidR="00E24B7F" w:rsidRPr="001219B0">
              <w:rPr>
                <w:rFonts w:eastAsia="Calibri"/>
                <w:sz w:val="18"/>
                <w:szCs w:val="18"/>
                <w:lang w:eastAsia="en-US"/>
              </w:rPr>
              <w:t xml:space="preserve"> 124, inc. I, alínea “a” e “b” da Lei Federal nº 14.133/21) </w:t>
            </w:r>
          </w:p>
        </w:tc>
      </w:tr>
      <w:tr w:rsidR="001219B0" w:rsidRPr="001219B0" w14:paraId="6529D707" w14:textId="77777777" w:rsidTr="00AC1ADD">
        <w:tc>
          <w:tcPr>
            <w:tcW w:w="3421" w:type="pct"/>
            <w:tcBorders>
              <w:top w:val="single" w:sz="4" w:space="0" w:color="000000"/>
              <w:left w:val="single" w:sz="4" w:space="0" w:color="000000"/>
              <w:bottom w:val="single" w:sz="4" w:space="0" w:color="000000"/>
              <w:right w:val="nil"/>
            </w:tcBorders>
          </w:tcPr>
          <w:p w14:paraId="686D18F6" w14:textId="5093C0E5" w:rsidR="00F85586" w:rsidRPr="001219B0" w:rsidRDefault="00F85586" w:rsidP="00180129">
            <w:pPr>
              <w:numPr>
                <w:ilvl w:val="0"/>
                <w:numId w:val="13"/>
              </w:numPr>
              <w:suppressAutoHyphens/>
              <w:spacing w:line="252" w:lineRule="auto"/>
              <w:ind w:right="142"/>
              <w:jc w:val="both"/>
              <w:rPr>
                <w:sz w:val="18"/>
                <w:szCs w:val="18"/>
                <w:lang w:eastAsia="en-US"/>
              </w:rPr>
            </w:pPr>
            <w:r w:rsidRPr="001219B0">
              <w:rPr>
                <w:sz w:val="18"/>
                <w:szCs w:val="18"/>
                <w:lang w:eastAsia="en-US"/>
              </w:rPr>
              <w:t xml:space="preserve">Certificou-se, </w:t>
            </w:r>
            <w:r w:rsidR="00745228" w:rsidRPr="001219B0">
              <w:rPr>
                <w:sz w:val="18"/>
                <w:szCs w:val="18"/>
                <w:lang w:eastAsia="en-US"/>
              </w:rPr>
              <w:t xml:space="preserve">quando </w:t>
            </w:r>
            <w:r w:rsidRPr="001219B0">
              <w:rPr>
                <w:sz w:val="18"/>
                <w:szCs w:val="18"/>
                <w:lang w:eastAsia="en-US"/>
              </w:rPr>
              <w:t xml:space="preserve">as </w:t>
            </w:r>
            <w:r w:rsidRPr="001219B0">
              <w:rPr>
                <w:b/>
                <w:bCs/>
                <w:sz w:val="18"/>
                <w:szCs w:val="18"/>
                <w:lang w:eastAsia="en-US"/>
              </w:rPr>
              <w:t xml:space="preserve">alterações </w:t>
            </w:r>
            <w:r w:rsidR="00745228" w:rsidRPr="001219B0">
              <w:rPr>
                <w:b/>
                <w:bCs/>
                <w:sz w:val="18"/>
                <w:szCs w:val="18"/>
                <w:lang w:eastAsia="en-US"/>
              </w:rPr>
              <w:t xml:space="preserve">for </w:t>
            </w:r>
            <w:r w:rsidRPr="001219B0">
              <w:rPr>
                <w:b/>
                <w:bCs/>
                <w:sz w:val="18"/>
                <w:szCs w:val="18"/>
                <w:lang w:eastAsia="en-US"/>
              </w:rPr>
              <w:t>decorrentes de modificação do projeto ou das especificações</w:t>
            </w:r>
            <w:r w:rsidRPr="001219B0">
              <w:rPr>
                <w:sz w:val="18"/>
                <w:szCs w:val="18"/>
                <w:lang w:eastAsia="en-US"/>
              </w:rPr>
              <w:t xml:space="preserve">, para melhor adequação técnica dos objetivos da Administração não transfigurou o objeto da contratação? </w:t>
            </w:r>
            <w:r w:rsidR="00745228" w:rsidRPr="001219B0">
              <w:rPr>
                <w:sz w:val="18"/>
                <w:szCs w:val="18"/>
                <w:lang w:eastAsia="en-US"/>
              </w:rPr>
              <w:t>(a</w:t>
            </w:r>
            <w:r w:rsidRPr="001219B0">
              <w:rPr>
                <w:sz w:val="18"/>
                <w:szCs w:val="18"/>
                <w:lang w:eastAsia="en-US"/>
              </w:rPr>
              <w:t>rt. 126 da Lei</w:t>
            </w:r>
            <w:r w:rsidR="00745228" w:rsidRPr="001219B0">
              <w:rPr>
                <w:sz w:val="18"/>
                <w:szCs w:val="18"/>
                <w:lang w:eastAsia="en-US"/>
              </w:rPr>
              <w:t xml:space="preserve"> Federal</w:t>
            </w:r>
            <w:r w:rsidRPr="001219B0">
              <w:rPr>
                <w:sz w:val="18"/>
                <w:szCs w:val="18"/>
                <w:lang w:eastAsia="en-US"/>
              </w:rPr>
              <w:t xml:space="preserve"> nº 14.133/21</w:t>
            </w:r>
            <w:r w:rsidR="00745228" w:rsidRPr="001219B0">
              <w:rPr>
                <w:sz w:val="18"/>
                <w:szCs w:val="18"/>
                <w:lang w:eastAsia="en-US"/>
              </w:rPr>
              <w:t>)</w:t>
            </w:r>
          </w:p>
        </w:tc>
        <w:tc>
          <w:tcPr>
            <w:tcW w:w="815" w:type="pct"/>
            <w:tcBorders>
              <w:top w:val="single" w:sz="4" w:space="0" w:color="000000"/>
              <w:left w:val="single" w:sz="4" w:space="0" w:color="000000"/>
              <w:bottom w:val="single" w:sz="4" w:space="0" w:color="000000"/>
              <w:right w:val="nil"/>
            </w:tcBorders>
          </w:tcPr>
          <w:p w14:paraId="3C638F80" w14:textId="77777777" w:rsidR="00F85586" w:rsidRPr="001219B0" w:rsidRDefault="00F85586" w:rsidP="00551254">
            <w:pPr>
              <w:snapToGrid w:val="0"/>
              <w:spacing w:after="160" w:line="360" w:lineRule="auto"/>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5284FE2F" w14:textId="77777777" w:rsidR="00F85586" w:rsidRPr="001219B0" w:rsidRDefault="00F85586" w:rsidP="00551254">
            <w:pPr>
              <w:snapToGrid w:val="0"/>
              <w:spacing w:after="160" w:line="360" w:lineRule="auto"/>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5318455D" w14:textId="77777777" w:rsidR="00F85586" w:rsidRPr="001219B0" w:rsidRDefault="00F85586" w:rsidP="00551254">
            <w:pPr>
              <w:snapToGrid w:val="0"/>
              <w:spacing w:after="160" w:line="360" w:lineRule="auto"/>
              <w:rPr>
                <w:sz w:val="18"/>
                <w:szCs w:val="18"/>
                <w:lang w:eastAsia="en-US"/>
              </w:rPr>
            </w:pPr>
          </w:p>
        </w:tc>
      </w:tr>
      <w:tr w:rsidR="001219B0" w:rsidRPr="001219B0" w14:paraId="2050CC6B" w14:textId="77777777" w:rsidTr="00AC1ADD">
        <w:tc>
          <w:tcPr>
            <w:tcW w:w="3421" w:type="pct"/>
            <w:tcBorders>
              <w:top w:val="single" w:sz="4" w:space="0" w:color="000000"/>
              <w:left w:val="single" w:sz="4" w:space="0" w:color="000000"/>
              <w:bottom w:val="single" w:sz="4" w:space="0" w:color="000000"/>
              <w:right w:val="nil"/>
            </w:tcBorders>
          </w:tcPr>
          <w:p w14:paraId="7D0514F0" w14:textId="208ABB1F" w:rsidR="00F85586" w:rsidRPr="001219B0" w:rsidRDefault="00F85586" w:rsidP="00180129">
            <w:pPr>
              <w:pStyle w:val="PargrafodaLista"/>
              <w:numPr>
                <w:ilvl w:val="0"/>
                <w:numId w:val="13"/>
              </w:numPr>
              <w:suppressAutoHyphens/>
              <w:spacing w:line="252" w:lineRule="auto"/>
              <w:ind w:right="142"/>
              <w:jc w:val="both"/>
              <w:rPr>
                <w:rFonts w:eastAsia="Calibri"/>
                <w:sz w:val="18"/>
                <w:szCs w:val="18"/>
                <w:lang w:eastAsia="en-US"/>
              </w:rPr>
            </w:pPr>
            <w:r w:rsidRPr="001219B0">
              <w:rPr>
                <w:rFonts w:eastAsia="Calibri"/>
                <w:sz w:val="18"/>
                <w:szCs w:val="18"/>
                <w:lang w:eastAsia="en-US"/>
              </w:rPr>
              <w:t xml:space="preserve">Na alteração unilateral do contrato, que tenha aumentado ou diminuído os encargos do contratado, foi realizado, no mesmo termo aditivo, o </w:t>
            </w:r>
            <w:r w:rsidRPr="00AC1ADD">
              <w:rPr>
                <w:rFonts w:eastAsia="Calibri"/>
                <w:b/>
                <w:bCs/>
                <w:sz w:val="18"/>
                <w:szCs w:val="18"/>
                <w:lang w:eastAsia="en-US"/>
              </w:rPr>
              <w:t>equilíbrio econômico-financeiro inicial do contrato</w:t>
            </w:r>
            <w:r w:rsidRPr="001219B0">
              <w:rPr>
                <w:rFonts w:eastAsia="Calibri"/>
                <w:sz w:val="18"/>
                <w:szCs w:val="18"/>
                <w:lang w:eastAsia="en-US"/>
              </w:rPr>
              <w:t>? (art. 130 da Lei Fedral nº 14.133/21)</w:t>
            </w:r>
          </w:p>
        </w:tc>
        <w:tc>
          <w:tcPr>
            <w:tcW w:w="815" w:type="pct"/>
            <w:tcBorders>
              <w:top w:val="single" w:sz="4" w:space="0" w:color="000000"/>
              <w:left w:val="single" w:sz="4" w:space="0" w:color="000000"/>
              <w:bottom w:val="single" w:sz="4" w:space="0" w:color="000000"/>
              <w:right w:val="nil"/>
            </w:tcBorders>
          </w:tcPr>
          <w:p w14:paraId="47013AA4" w14:textId="77777777" w:rsidR="00F85586" w:rsidRPr="001219B0" w:rsidRDefault="00F85586" w:rsidP="002E4099">
            <w:pPr>
              <w:snapToGrid w:val="0"/>
              <w:spacing w:after="160" w:line="360" w:lineRule="auto"/>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15337E5F" w14:textId="77777777" w:rsidR="00F85586" w:rsidRPr="001219B0" w:rsidRDefault="00F85586" w:rsidP="002E4099">
            <w:pPr>
              <w:snapToGrid w:val="0"/>
              <w:spacing w:after="160" w:line="360" w:lineRule="auto"/>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7383BF5A" w14:textId="77777777" w:rsidR="00F85586" w:rsidRPr="001219B0" w:rsidRDefault="00F85586" w:rsidP="002E4099">
            <w:pPr>
              <w:snapToGrid w:val="0"/>
              <w:spacing w:after="160" w:line="360" w:lineRule="auto"/>
              <w:rPr>
                <w:sz w:val="18"/>
                <w:szCs w:val="18"/>
                <w:lang w:eastAsia="en-US"/>
              </w:rPr>
            </w:pPr>
          </w:p>
        </w:tc>
      </w:tr>
      <w:tr w:rsidR="001219B0" w:rsidRPr="001219B0" w14:paraId="746974DA" w14:textId="77777777" w:rsidTr="00AC1ADD">
        <w:tc>
          <w:tcPr>
            <w:tcW w:w="3421" w:type="pct"/>
            <w:tcBorders>
              <w:top w:val="single" w:sz="4" w:space="0" w:color="000000"/>
              <w:left w:val="single" w:sz="4" w:space="0" w:color="000000"/>
              <w:bottom w:val="single" w:sz="4" w:space="0" w:color="000000"/>
              <w:right w:val="nil"/>
            </w:tcBorders>
            <w:hideMark/>
          </w:tcPr>
          <w:p w14:paraId="026B9B50" w14:textId="77911414" w:rsidR="00DC15A2" w:rsidRPr="001219B0" w:rsidRDefault="00A6596D" w:rsidP="00180129">
            <w:pPr>
              <w:pStyle w:val="PargrafodaLista"/>
              <w:numPr>
                <w:ilvl w:val="0"/>
                <w:numId w:val="13"/>
              </w:numPr>
              <w:suppressAutoHyphens/>
              <w:spacing w:line="252" w:lineRule="auto"/>
              <w:ind w:right="142"/>
              <w:jc w:val="both"/>
              <w:rPr>
                <w:rFonts w:eastAsia="Calibri"/>
                <w:sz w:val="18"/>
                <w:szCs w:val="18"/>
                <w:lang w:eastAsia="en-US"/>
              </w:rPr>
            </w:pPr>
            <w:r w:rsidRPr="001219B0">
              <w:rPr>
                <w:rFonts w:eastAsia="Calibri"/>
                <w:sz w:val="18"/>
                <w:szCs w:val="18"/>
                <w:lang w:eastAsia="en-US"/>
              </w:rPr>
              <w:t>Observou-se</w:t>
            </w:r>
            <w:r w:rsidR="002C0922" w:rsidRPr="001219B0">
              <w:rPr>
                <w:rFonts w:eastAsia="Arial"/>
                <w:sz w:val="18"/>
                <w:szCs w:val="18"/>
                <w:lang w:eastAsia="en-US"/>
              </w:rPr>
              <w:t xml:space="preserve"> </w:t>
            </w:r>
            <w:r w:rsidR="002C0922" w:rsidRPr="001219B0">
              <w:rPr>
                <w:rFonts w:eastAsia="Calibri"/>
                <w:sz w:val="18"/>
                <w:szCs w:val="18"/>
                <w:lang w:eastAsia="en-US"/>
              </w:rPr>
              <w:t xml:space="preserve">a </w:t>
            </w:r>
            <w:r w:rsidR="002C0922" w:rsidRPr="00AC1ADD">
              <w:rPr>
                <w:rFonts w:eastAsia="Calibri"/>
                <w:b/>
                <w:bCs/>
                <w:sz w:val="18"/>
                <w:szCs w:val="18"/>
                <w:lang w:eastAsia="en-US"/>
              </w:rPr>
              <w:t>memória de cálculo</w:t>
            </w:r>
            <w:r w:rsidR="002C0922" w:rsidRPr="001219B0">
              <w:rPr>
                <w:rFonts w:eastAsia="Calibri"/>
                <w:sz w:val="18"/>
                <w:szCs w:val="18"/>
                <w:lang w:eastAsia="en-US"/>
              </w:rPr>
              <w:t xml:space="preserve"> emitida pelo fiscal</w:t>
            </w:r>
            <w:r w:rsidRPr="001219B0">
              <w:rPr>
                <w:rFonts w:eastAsia="Calibri"/>
                <w:sz w:val="18"/>
                <w:szCs w:val="18"/>
                <w:lang w:eastAsia="en-US"/>
              </w:rPr>
              <w:t>, se os limites percentuais de acréscimo ou supressões</w:t>
            </w:r>
            <w:r w:rsidRPr="001219B0">
              <w:rPr>
                <w:rStyle w:val="Refdenotaderodap"/>
                <w:rFonts w:eastAsia="Calibri"/>
                <w:sz w:val="18"/>
                <w:szCs w:val="18"/>
                <w:lang w:eastAsia="en-US"/>
              </w:rPr>
              <w:footnoteReference w:id="6"/>
            </w:r>
            <w:r w:rsidRPr="001219B0">
              <w:rPr>
                <w:rFonts w:eastAsia="Calibri"/>
                <w:sz w:val="18"/>
                <w:szCs w:val="18"/>
                <w:lang w:eastAsia="en-US"/>
              </w:rPr>
              <w:t xml:space="preserve"> estão corretamente aplicados ao objeto do contrato e no percentual correto?</w:t>
            </w:r>
            <w:r w:rsidRPr="001219B0">
              <w:rPr>
                <w:sz w:val="18"/>
                <w:szCs w:val="18"/>
                <w:lang w:eastAsia="en-US"/>
              </w:rPr>
              <w:t xml:space="preserve"> </w:t>
            </w:r>
            <w:r w:rsidRPr="001219B0">
              <w:rPr>
                <w:rFonts w:eastAsia="Calibri"/>
                <w:sz w:val="18"/>
                <w:szCs w:val="18"/>
                <w:lang w:eastAsia="en-US"/>
              </w:rPr>
              <w:t>(arts. 125 e 126 da Lei Federal nº 14.133/21)</w:t>
            </w:r>
          </w:p>
        </w:tc>
        <w:tc>
          <w:tcPr>
            <w:tcW w:w="815" w:type="pct"/>
            <w:tcBorders>
              <w:top w:val="single" w:sz="4" w:space="0" w:color="000000"/>
              <w:left w:val="single" w:sz="4" w:space="0" w:color="000000"/>
              <w:bottom w:val="single" w:sz="4" w:space="0" w:color="000000"/>
              <w:right w:val="nil"/>
            </w:tcBorders>
          </w:tcPr>
          <w:p w14:paraId="7531EF0D" w14:textId="77777777" w:rsidR="00DC15A2" w:rsidRPr="001219B0" w:rsidRDefault="00DC15A2" w:rsidP="002E4099">
            <w:pPr>
              <w:snapToGrid w:val="0"/>
              <w:spacing w:after="160" w:line="360" w:lineRule="auto"/>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17ACBF43" w14:textId="77777777" w:rsidR="00DC15A2" w:rsidRPr="001219B0" w:rsidRDefault="00DC15A2" w:rsidP="002E4099">
            <w:pPr>
              <w:snapToGrid w:val="0"/>
              <w:spacing w:after="160" w:line="360" w:lineRule="auto"/>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5932295B" w14:textId="77777777" w:rsidR="00DC15A2" w:rsidRPr="001219B0" w:rsidRDefault="00DC15A2" w:rsidP="002E4099">
            <w:pPr>
              <w:snapToGrid w:val="0"/>
              <w:spacing w:after="160" w:line="360" w:lineRule="auto"/>
              <w:rPr>
                <w:sz w:val="18"/>
                <w:szCs w:val="18"/>
                <w:lang w:eastAsia="en-US"/>
              </w:rPr>
            </w:pPr>
          </w:p>
        </w:tc>
      </w:tr>
      <w:tr w:rsidR="001219B0" w:rsidRPr="001219B0" w14:paraId="397AF183" w14:textId="77777777" w:rsidTr="00AC1ADD">
        <w:tc>
          <w:tcPr>
            <w:tcW w:w="3421" w:type="pct"/>
            <w:tcBorders>
              <w:top w:val="single" w:sz="4" w:space="0" w:color="000000"/>
              <w:left w:val="single" w:sz="4" w:space="0" w:color="000000"/>
              <w:bottom w:val="single" w:sz="4" w:space="0" w:color="000000"/>
              <w:right w:val="nil"/>
            </w:tcBorders>
          </w:tcPr>
          <w:p w14:paraId="6A0D24A5" w14:textId="77777777" w:rsidR="00A6596D" w:rsidRPr="001219B0" w:rsidRDefault="00A6596D" w:rsidP="00180129">
            <w:pPr>
              <w:numPr>
                <w:ilvl w:val="0"/>
                <w:numId w:val="13"/>
              </w:numPr>
              <w:suppressAutoHyphens/>
              <w:spacing w:line="252" w:lineRule="auto"/>
              <w:ind w:right="142"/>
              <w:jc w:val="both"/>
              <w:rPr>
                <w:sz w:val="18"/>
                <w:szCs w:val="18"/>
                <w:lang w:eastAsia="en-US"/>
              </w:rPr>
            </w:pPr>
            <w:r w:rsidRPr="001219B0">
              <w:rPr>
                <w:sz w:val="18"/>
                <w:szCs w:val="18"/>
                <w:lang w:eastAsia="en-US"/>
              </w:rPr>
              <w:t xml:space="preserve">Caso as alterações relativas às </w:t>
            </w:r>
            <w:r w:rsidRPr="00AC1ADD">
              <w:rPr>
                <w:b/>
                <w:bCs/>
                <w:sz w:val="18"/>
                <w:szCs w:val="18"/>
                <w:lang w:eastAsia="en-US"/>
              </w:rPr>
              <w:t>supressões</w:t>
            </w:r>
            <w:r w:rsidRPr="001219B0">
              <w:rPr>
                <w:sz w:val="18"/>
                <w:szCs w:val="18"/>
                <w:lang w:eastAsia="en-US"/>
              </w:rPr>
              <w:t xml:space="preserve"> exceder os limites estabelecidos, consta acatadas pelo contratado? </w:t>
            </w:r>
          </w:p>
        </w:tc>
        <w:tc>
          <w:tcPr>
            <w:tcW w:w="815" w:type="pct"/>
            <w:tcBorders>
              <w:top w:val="single" w:sz="4" w:space="0" w:color="000000"/>
              <w:left w:val="single" w:sz="4" w:space="0" w:color="000000"/>
              <w:bottom w:val="single" w:sz="4" w:space="0" w:color="000000"/>
              <w:right w:val="nil"/>
            </w:tcBorders>
          </w:tcPr>
          <w:p w14:paraId="1543AD54" w14:textId="77777777" w:rsidR="00A6596D" w:rsidRPr="001219B0" w:rsidRDefault="00A6596D" w:rsidP="00DC5971">
            <w:pPr>
              <w:snapToGrid w:val="0"/>
              <w:spacing w:after="160" w:line="360" w:lineRule="auto"/>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605D2BC2" w14:textId="77777777" w:rsidR="00A6596D" w:rsidRPr="001219B0" w:rsidRDefault="00A6596D" w:rsidP="00DC5971">
            <w:pPr>
              <w:snapToGrid w:val="0"/>
              <w:spacing w:after="160" w:line="360" w:lineRule="auto"/>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71648CD0" w14:textId="77777777" w:rsidR="00A6596D" w:rsidRPr="001219B0" w:rsidRDefault="00A6596D" w:rsidP="00DC5971">
            <w:pPr>
              <w:snapToGrid w:val="0"/>
              <w:spacing w:after="160" w:line="360" w:lineRule="auto"/>
              <w:rPr>
                <w:sz w:val="18"/>
                <w:szCs w:val="18"/>
                <w:lang w:eastAsia="en-US"/>
              </w:rPr>
            </w:pPr>
          </w:p>
        </w:tc>
      </w:tr>
      <w:tr w:rsidR="001219B0" w:rsidRPr="001219B0" w14:paraId="7C172C89" w14:textId="77777777" w:rsidTr="00AC1ADD">
        <w:tc>
          <w:tcPr>
            <w:tcW w:w="3421" w:type="pct"/>
            <w:tcBorders>
              <w:top w:val="single" w:sz="4" w:space="0" w:color="000000"/>
              <w:left w:val="single" w:sz="4" w:space="0" w:color="000000"/>
              <w:bottom w:val="single" w:sz="4" w:space="0" w:color="000000"/>
              <w:right w:val="nil"/>
            </w:tcBorders>
          </w:tcPr>
          <w:p w14:paraId="5FDE295A" w14:textId="3FD861BC" w:rsidR="003F1055" w:rsidRPr="001219B0" w:rsidRDefault="00A6596D" w:rsidP="00180129">
            <w:pPr>
              <w:numPr>
                <w:ilvl w:val="0"/>
                <w:numId w:val="13"/>
              </w:numPr>
              <w:suppressAutoHyphens/>
              <w:spacing w:line="252" w:lineRule="auto"/>
              <w:ind w:right="142"/>
              <w:jc w:val="both"/>
              <w:rPr>
                <w:sz w:val="18"/>
                <w:szCs w:val="18"/>
                <w:lang w:eastAsia="en-US"/>
              </w:rPr>
            </w:pPr>
            <w:r w:rsidRPr="001219B0">
              <w:rPr>
                <w:sz w:val="18"/>
                <w:szCs w:val="18"/>
                <w:lang w:eastAsia="en-US"/>
              </w:rPr>
              <w:t xml:space="preserve">Há </w:t>
            </w:r>
            <w:r w:rsidRPr="00AC1ADD">
              <w:rPr>
                <w:b/>
                <w:bCs/>
                <w:sz w:val="18"/>
                <w:szCs w:val="18"/>
                <w:lang w:eastAsia="en-US"/>
              </w:rPr>
              <w:t>orçamento detalhado em planilhas</w:t>
            </w:r>
            <w:r w:rsidRPr="001219B0">
              <w:rPr>
                <w:sz w:val="18"/>
                <w:szCs w:val="18"/>
                <w:lang w:eastAsia="en-US"/>
              </w:rPr>
              <w:t xml:space="preserve"> que expresse a composição dos custos unitários da alteração (acréscimo, quando se tratar de item não previsto inicialmente e que não desvirtue o objeto da contratação), conforme art. 23, §2</w:t>
            </w:r>
            <w:r w:rsidR="00832192" w:rsidRPr="001219B0">
              <w:rPr>
                <w:sz w:val="18"/>
                <w:szCs w:val="18"/>
                <w:lang w:eastAsia="en-US"/>
              </w:rPr>
              <w:t>º</w:t>
            </w:r>
            <w:r w:rsidRPr="001219B0">
              <w:rPr>
                <w:sz w:val="18"/>
                <w:szCs w:val="18"/>
                <w:lang w:eastAsia="en-US"/>
              </w:rPr>
              <w:t xml:space="preserve">, </w:t>
            </w:r>
            <w:r w:rsidR="00832192" w:rsidRPr="001219B0">
              <w:rPr>
                <w:sz w:val="18"/>
                <w:szCs w:val="18"/>
                <w:lang w:eastAsia="en-US"/>
              </w:rPr>
              <w:t xml:space="preserve">inc. </w:t>
            </w:r>
            <w:r w:rsidRPr="001219B0">
              <w:rPr>
                <w:sz w:val="18"/>
                <w:szCs w:val="18"/>
                <w:lang w:eastAsia="en-US"/>
              </w:rPr>
              <w:t xml:space="preserve">I, da Lei </w:t>
            </w:r>
            <w:r w:rsidR="00832192" w:rsidRPr="001219B0">
              <w:rPr>
                <w:sz w:val="18"/>
                <w:szCs w:val="18"/>
                <w:lang w:eastAsia="en-US"/>
              </w:rPr>
              <w:t xml:space="preserve">Federal </w:t>
            </w:r>
            <w:r w:rsidRPr="001219B0">
              <w:rPr>
                <w:sz w:val="18"/>
                <w:szCs w:val="18"/>
                <w:lang w:eastAsia="en-US"/>
              </w:rPr>
              <w:t>n</w:t>
            </w:r>
            <w:r w:rsidR="00832192" w:rsidRPr="001219B0">
              <w:rPr>
                <w:sz w:val="18"/>
                <w:szCs w:val="18"/>
                <w:lang w:eastAsia="en-US"/>
              </w:rPr>
              <w:t>º</w:t>
            </w:r>
            <w:r w:rsidRPr="001219B0">
              <w:rPr>
                <w:sz w:val="18"/>
                <w:szCs w:val="18"/>
                <w:lang w:eastAsia="en-US"/>
              </w:rPr>
              <w:t xml:space="preserve"> 14.133/21 e suficientes para indicar a vantajosidade do acréscimo?</w:t>
            </w:r>
          </w:p>
        </w:tc>
        <w:tc>
          <w:tcPr>
            <w:tcW w:w="815" w:type="pct"/>
            <w:tcBorders>
              <w:top w:val="single" w:sz="4" w:space="0" w:color="000000"/>
              <w:left w:val="single" w:sz="4" w:space="0" w:color="000000"/>
              <w:bottom w:val="single" w:sz="4" w:space="0" w:color="000000"/>
              <w:right w:val="nil"/>
            </w:tcBorders>
          </w:tcPr>
          <w:p w14:paraId="68E552E9" w14:textId="77777777" w:rsidR="003F1055" w:rsidRPr="001219B0" w:rsidRDefault="003F1055" w:rsidP="002E4099">
            <w:pPr>
              <w:snapToGrid w:val="0"/>
              <w:spacing w:after="160" w:line="360" w:lineRule="auto"/>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40AAA018" w14:textId="77777777" w:rsidR="003F1055" w:rsidRPr="001219B0" w:rsidRDefault="003F1055" w:rsidP="002E4099">
            <w:pPr>
              <w:snapToGrid w:val="0"/>
              <w:spacing w:after="160" w:line="360" w:lineRule="auto"/>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6CCC7E53" w14:textId="77777777" w:rsidR="003F1055" w:rsidRPr="001219B0" w:rsidRDefault="003F1055" w:rsidP="002E4099">
            <w:pPr>
              <w:snapToGrid w:val="0"/>
              <w:spacing w:after="160" w:line="360" w:lineRule="auto"/>
              <w:rPr>
                <w:sz w:val="18"/>
                <w:szCs w:val="18"/>
                <w:lang w:eastAsia="en-US"/>
              </w:rPr>
            </w:pPr>
          </w:p>
        </w:tc>
      </w:tr>
      <w:tr w:rsidR="001219B0" w:rsidRPr="001219B0" w14:paraId="0BBBA746" w14:textId="77777777" w:rsidTr="0032063D">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665444" w14:textId="5098A094" w:rsidR="00B76B67" w:rsidRPr="001219B0" w:rsidRDefault="00B76B67" w:rsidP="0032063D">
            <w:pPr>
              <w:snapToGrid w:val="0"/>
              <w:spacing w:before="120" w:after="120"/>
              <w:jc w:val="center"/>
              <w:rPr>
                <w:b/>
                <w:bCs/>
                <w:sz w:val="18"/>
                <w:szCs w:val="18"/>
                <w:lang w:eastAsia="en-US"/>
              </w:rPr>
            </w:pPr>
            <w:r w:rsidRPr="001219B0">
              <w:rPr>
                <w:b/>
                <w:bCs/>
                <w:sz w:val="18"/>
                <w:szCs w:val="18"/>
                <w:lang w:eastAsia="en-US"/>
              </w:rPr>
              <w:t>ALTERAÇÃO CONTRATUAL POR ACORDO ENTRE AS PARTES</w:t>
            </w:r>
          </w:p>
        </w:tc>
      </w:tr>
      <w:tr w:rsidR="001219B0" w:rsidRPr="001219B0" w14:paraId="4D0DD681" w14:textId="77777777" w:rsidTr="005C43E6">
        <w:tc>
          <w:tcPr>
            <w:tcW w:w="5000" w:type="pct"/>
            <w:gridSpan w:val="4"/>
            <w:tcBorders>
              <w:top w:val="single" w:sz="4" w:space="0" w:color="000000"/>
              <w:left w:val="single" w:sz="4" w:space="0" w:color="000000"/>
              <w:bottom w:val="single" w:sz="4" w:space="0" w:color="000000"/>
              <w:right w:val="single" w:sz="4" w:space="0" w:color="000000"/>
            </w:tcBorders>
            <w:hideMark/>
          </w:tcPr>
          <w:p w14:paraId="04911636" w14:textId="352F13CA" w:rsidR="005C43E6" w:rsidRPr="001219B0" w:rsidRDefault="005C43E6" w:rsidP="00AC1ADD">
            <w:pPr>
              <w:numPr>
                <w:ilvl w:val="0"/>
                <w:numId w:val="16"/>
              </w:numPr>
              <w:tabs>
                <w:tab w:val="clear" w:pos="928"/>
              </w:tabs>
              <w:suppressAutoHyphens/>
              <w:spacing w:line="276" w:lineRule="auto"/>
              <w:ind w:left="351" w:right="141" w:hanging="351"/>
              <w:jc w:val="both"/>
              <w:rPr>
                <w:rFonts w:eastAsia="Calibri"/>
                <w:sz w:val="18"/>
                <w:szCs w:val="18"/>
                <w:lang w:eastAsia="en-US"/>
              </w:rPr>
            </w:pPr>
            <w:r w:rsidRPr="001219B0">
              <w:rPr>
                <w:rFonts w:eastAsia="Calibri"/>
                <w:sz w:val="18"/>
                <w:szCs w:val="18"/>
                <w:lang w:eastAsia="en-US"/>
              </w:rPr>
              <w:t xml:space="preserve">Quando a alteração se der </w:t>
            </w:r>
            <w:r w:rsidRPr="001219B0">
              <w:rPr>
                <w:rFonts w:eastAsia="Calibri"/>
                <w:b/>
                <w:bCs/>
                <w:sz w:val="18"/>
                <w:szCs w:val="18"/>
                <w:lang w:eastAsia="en-US"/>
              </w:rPr>
              <w:t>por acordo entre as partes</w:t>
            </w:r>
            <w:r w:rsidRPr="001219B0">
              <w:rPr>
                <w:rFonts w:eastAsia="Calibri"/>
                <w:sz w:val="18"/>
                <w:szCs w:val="18"/>
                <w:lang w:eastAsia="en-US"/>
              </w:rPr>
              <w:t>, mediante justificativa, esta decorreu:</w:t>
            </w:r>
            <w:r w:rsidR="00AB24C2" w:rsidRPr="001219B0">
              <w:rPr>
                <w:rFonts w:eastAsia="Calibri"/>
                <w:sz w:val="18"/>
                <w:szCs w:val="18"/>
                <w:lang w:eastAsia="en-US"/>
              </w:rPr>
              <w:t xml:space="preserve"> (art. 124, inc. I</w:t>
            </w:r>
            <w:r w:rsidR="0032063D" w:rsidRPr="001219B0">
              <w:rPr>
                <w:rFonts w:eastAsia="Calibri"/>
                <w:sz w:val="18"/>
                <w:szCs w:val="18"/>
                <w:lang w:eastAsia="en-US"/>
              </w:rPr>
              <w:t>I</w:t>
            </w:r>
            <w:r w:rsidR="00AB24C2" w:rsidRPr="001219B0">
              <w:rPr>
                <w:rFonts w:eastAsia="Calibri"/>
                <w:sz w:val="18"/>
                <w:szCs w:val="18"/>
                <w:lang w:eastAsia="en-US"/>
              </w:rPr>
              <w:t xml:space="preserve"> da Lei </w:t>
            </w:r>
            <w:r w:rsidR="0032063D" w:rsidRPr="001219B0">
              <w:rPr>
                <w:rFonts w:eastAsia="Calibri"/>
                <w:sz w:val="18"/>
                <w:szCs w:val="18"/>
                <w:lang w:eastAsia="en-US"/>
              </w:rPr>
              <w:t xml:space="preserve">Federal </w:t>
            </w:r>
            <w:r w:rsidR="00AB24C2" w:rsidRPr="001219B0">
              <w:rPr>
                <w:rFonts w:eastAsia="Calibri"/>
                <w:sz w:val="18"/>
                <w:szCs w:val="18"/>
                <w:lang w:eastAsia="en-US"/>
              </w:rPr>
              <w:t>nº 14.133/2</w:t>
            </w:r>
            <w:r w:rsidR="00543465" w:rsidRPr="001219B0">
              <w:rPr>
                <w:rFonts w:eastAsia="Calibri"/>
                <w:sz w:val="18"/>
                <w:szCs w:val="18"/>
                <w:lang w:eastAsia="en-US"/>
              </w:rPr>
              <w:t>1</w:t>
            </w:r>
            <w:r w:rsidR="00B07F16" w:rsidRPr="001219B0">
              <w:rPr>
                <w:rFonts w:eastAsia="Calibri"/>
                <w:sz w:val="18"/>
                <w:szCs w:val="18"/>
                <w:lang w:eastAsia="en-US"/>
              </w:rPr>
              <w:t>)</w:t>
            </w:r>
          </w:p>
        </w:tc>
      </w:tr>
      <w:tr w:rsidR="001219B0" w:rsidRPr="001219B0" w14:paraId="389D887A" w14:textId="77777777" w:rsidTr="00AC1ADD">
        <w:tc>
          <w:tcPr>
            <w:tcW w:w="3421" w:type="pct"/>
            <w:tcBorders>
              <w:top w:val="single" w:sz="4" w:space="0" w:color="000000"/>
              <w:left w:val="single" w:sz="4" w:space="0" w:color="000000"/>
              <w:bottom w:val="single" w:sz="4" w:space="0" w:color="000000"/>
              <w:right w:val="nil"/>
            </w:tcBorders>
            <w:hideMark/>
          </w:tcPr>
          <w:p w14:paraId="26EAF83E" w14:textId="1F85FAEC" w:rsidR="005C43E6" w:rsidRPr="001219B0" w:rsidRDefault="00B80301" w:rsidP="0048694E">
            <w:pPr>
              <w:numPr>
                <w:ilvl w:val="0"/>
                <w:numId w:val="3"/>
              </w:numPr>
              <w:suppressAutoHyphens/>
              <w:spacing w:line="276" w:lineRule="auto"/>
              <w:ind w:left="346" w:hanging="284"/>
              <w:jc w:val="both"/>
              <w:rPr>
                <w:rFonts w:eastAsia="Calibri"/>
                <w:sz w:val="18"/>
                <w:szCs w:val="18"/>
                <w:lang w:eastAsia="en-US"/>
              </w:rPr>
            </w:pPr>
            <w:r w:rsidRPr="001219B0">
              <w:rPr>
                <w:rFonts w:eastAsia="Calibri"/>
                <w:sz w:val="18"/>
                <w:szCs w:val="18"/>
                <w:lang w:eastAsia="en-US"/>
              </w:rPr>
              <w:t>A contratada quando solicita a</w:t>
            </w:r>
            <w:r w:rsidR="00B256A6" w:rsidRPr="001219B0">
              <w:rPr>
                <w:rFonts w:eastAsia="Calibri"/>
                <w:sz w:val="18"/>
                <w:szCs w:val="18"/>
                <w:lang w:eastAsia="en-US"/>
              </w:rPr>
              <w:t xml:space="preserve"> </w:t>
            </w:r>
            <w:r w:rsidR="005C43E6" w:rsidRPr="001219B0">
              <w:rPr>
                <w:rFonts w:eastAsia="Calibri"/>
                <w:b/>
                <w:bCs/>
                <w:sz w:val="18"/>
                <w:szCs w:val="18"/>
                <w:lang w:eastAsia="en-US"/>
              </w:rPr>
              <w:t>substituição da garantia de execução</w:t>
            </w:r>
            <w:r w:rsidR="00B256A6" w:rsidRPr="001219B0">
              <w:rPr>
                <w:rFonts w:eastAsia="Calibri"/>
                <w:sz w:val="18"/>
                <w:szCs w:val="18"/>
                <w:lang w:eastAsia="en-US"/>
              </w:rPr>
              <w:t>, prevista no contrato</w:t>
            </w:r>
            <w:r w:rsidR="0005288E" w:rsidRPr="001219B0">
              <w:rPr>
                <w:rFonts w:eastAsia="Calibri"/>
                <w:sz w:val="18"/>
                <w:szCs w:val="18"/>
                <w:lang w:eastAsia="en-US"/>
              </w:rPr>
              <w:t xml:space="preserve">, </w:t>
            </w:r>
            <w:r w:rsidR="00904948" w:rsidRPr="001219B0">
              <w:rPr>
                <w:rFonts w:eastAsia="Calibri"/>
                <w:sz w:val="18"/>
                <w:szCs w:val="18"/>
                <w:lang w:eastAsia="en-US"/>
              </w:rPr>
              <w:t xml:space="preserve">consta a </w:t>
            </w:r>
            <w:r w:rsidR="0005288E" w:rsidRPr="001219B0">
              <w:rPr>
                <w:rFonts w:eastAsia="Calibri"/>
                <w:sz w:val="18"/>
                <w:szCs w:val="18"/>
                <w:lang w:eastAsia="en-US"/>
              </w:rPr>
              <w:t>analis</w:t>
            </w:r>
            <w:r w:rsidR="00904948" w:rsidRPr="001219B0">
              <w:rPr>
                <w:rFonts w:eastAsia="Calibri"/>
                <w:sz w:val="18"/>
                <w:szCs w:val="18"/>
                <w:lang w:eastAsia="en-US"/>
              </w:rPr>
              <w:t xml:space="preserve">e de que </w:t>
            </w:r>
            <w:r w:rsidR="0005288E" w:rsidRPr="001219B0">
              <w:rPr>
                <w:rFonts w:eastAsia="Calibri"/>
                <w:sz w:val="18"/>
                <w:szCs w:val="18"/>
                <w:lang w:eastAsia="en-US"/>
              </w:rPr>
              <w:t xml:space="preserve">nova garantia </w:t>
            </w:r>
            <w:r w:rsidR="00CC4471" w:rsidRPr="001219B0">
              <w:rPr>
                <w:rFonts w:eastAsia="Calibri"/>
                <w:sz w:val="18"/>
                <w:szCs w:val="18"/>
                <w:lang w:eastAsia="en-US"/>
              </w:rPr>
              <w:t>não apresenta qualquer</w:t>
            </w:r>
            <w:r w:rsidR="0005288E" w:rsidRPr="001219B0">
              <w:rPr>
                <w:rFonts w:eastAsia="Calibri"/>
                <w:sz w:val="18"/>
                <w:szCs w:val="18"/>
                <w:lang w:eastAsia="en-US"/>
              </w:rPr>
              <w:t xml:space="preserve"> vício que </w:t>
            </w:r>
            <w:r w:rsidR="00CC4471" w:rsidRPr="001219B0">
              <w:rPr>
                <w:rFonts w:eastAsia="Calibri"/>
                <w:sz w:val="18"/>
                <w:szCs w:val="18"/>
                <w:lang w:eastAsia="en-US"/>
              </w:rPr>
              <w:t>a</w:t>
            </w:r>
            <w:r w:rsidR="0005288E" w:rsidRPr="001219B0">
              <w:rPr>
                <w:rFonts w:eastAsia="Calibri"/>
                <w:sz w:val="18"/>
                <w:szCs w:val="18"/>
                <w:lang w:eastAsia="en-US"/>
              </w:rPr>
              <w:t xml:space="preserve"> to</w:t>
            </w:r>
            <w:r w:rsidR="00904948" w:rsidRPr="001219B0">
              <w:rPr>
                <w:rFonts w:eastAsia="Calibri"/>
                <w:sz w:val="18"/>
                <w:szCs w:val="18"/>
                <w:lang w:eastAsia="en-US"/>
              </w:rPr>
              <w:t>r</w:t>
            </w:r>
            <w:r w:rsidR="0005288E" w:rsidRPr="001219B0">
              <w:rPr>
                <w:rFonts w:eastAsia="Calibri"/>
                <w:sz w:val="18"/>
                <w:szCs w:val="18"/>
                <w:lang w:eastAsia="en-US"/>
              </w:rPr>
              <w:t>ne suspeita e/ou imprestável</w:t>
            </w:r>
            <w:r w:rsidR="00383351" w:rsidRPr="001219B0">
              <w:rPr>
                <w:rFonts w:eastAsia="Calibri"/>
                <w:sz w:val="18"/>
                <w:szCs w:val="18"/>
                <w:lang w:eastAsia="en-US"/>
              </w:rPr>
              <w:t>; se foram mantidas</w:t>
            </w:r>
            <w:r w:rsidR="0005288E" w:rsidRPr="001219B0">
              <w:rPr>
                <w:rFonts w:eastAsia="Calibri"/>
                <w:sz w:val="18"/>
                <w:szCs w:val="18"/>
                <w:lang w:eastAsia="en-US"/>
              </w:rPr>
              <w:t xml:space="preserve"> </w:t>
            </w:r>
            <w:r w:rsidR="00383351" w:rsidRPr="001219B0">
              <w:rPr>
                <w:rFonts w:eastAsia="Calibri"/>
                <w:sz w:val="18"/>
                <w:szCs w:val="18"/>
                <w:lang w:eastAsia="en-US"/>
              </w:rPr>
              <w:t>as mesmas condições e coberturas da apólice a ser substituída, e, que nenhum período da exeução ficou descoberto</w:t>
            </w:r>
            <w:r w:rsidR="005C43E6" w:rsidRPr="001219B0">
              <w:rPr>
                <w:rFonts w:eastAsia="Calibri"/>
                <w:sz w:val="18"/>
                <w:szCs w:val="18"/>
                <w:lang w:eastAsia="en-US"/>
              </w:rPr>
              <w:t>?</w:t>
            </w:r>
            <w:r w:rsidR="00AB24C2" w:rsidRPr="001219B0">
              <w:rPr>
                <w:rFonts w:eastAsia="Calibri"/>
                <w:sz w:val="18"/>
                <w:szCs w:val="18"/>
                <w:lang w:eastAsia="en-US"/>
              </w:rPr>
              <w:t xml:space="preserve"> (art. 124, inc. II, “a”</w:t>
            </w:r>
            <w:r w:rsidR="00CC4471" w:rsidRPr="001219B0">
              <w:rPr>
                <w:rFonts w:eastAsia="Calibri"/>
                <w:sz w:val="18"/>
                <w:szCs w:val="18"/>
                <w:lang w:eastAsia="en-US"/>
              </w:rPr>
              <w:t>, art. 96</w:t>
            </w:r>
            <w:r w:rsidRPr="001219B0">
              <w:rPr>
                <w:rFonts w:eastAsia="Calibri"/>
                <w:sz w:val="18"/>
                <w:szCs w:val="18"/>
                <w:lang w:eastAsia="en-US"/>
              </w:rPr>
              <w:t xml:space="preserve"> a</w:t>
            </w:r>
            <w:r w:rsidR="00CC4471" w:rsidRPr="001219B0">
              <w:rPr>
                <w:rFonts w:eastAsia="Calibri"/>
                <w:sz w:val="18"/>
                <w:szCs w:val="18"/>
                <w:lang w:eastAsia="en-US"/>
              </w:rPr>
              <w:t xml:space="preserve"> 98 </w:t>
            </w:r>
            <w:r w:rsidR="00AB24C2" w:rsidRPr="001219B0">
              <w:rPr>
                <w:rFonts w:eastAsia="Calibri"/>
                <w:sz w:val="18"/>
                <w:szCs w:val="18"/>
                <w:lang w:eastAsia="en-US"/>
              </w:rPr>
              <w:t xml:space="preserve">da Lei </w:t>
            </w:r>
            <w:r w:rsidRPr="001219B0">
              <w:rPr>
                <w:rFonts w:eastAsia="Calibri"/>
                <w:sz w:val="18"/>
                <w:szCs w:val="18"/>
                <w:lang w:eastAsia="en-US"/>
              </w:rPr>
              <w:t xml:space="preserve">Federal </w:t>
            </w:r>
            <w:r w:rsidR="00AB24C2" w:rsidRPr="001219B0">
              <w:rPr>
                <w:rFonts w:eastAsia="Calibri"/>
                <w:sz w:val="18"/>
                <w:szCs w:val="18"/>
                <w:lang w:eastAsia="en-US"/>
              </w:rPr>
              <w:t>nº 14.133/2</w:t>
            </w:r>
            <w:r w:rsidR="00543465" w:rsidRPr="001219B0">
              <w:rPr>
                <w:rFonts w:eastAsia="Calibri"/>
                <w:sz w:val="18"/>
                <w:szCs w:val="18"/>
                <w:lang w:eastAsia="en-US"/>
              </w:rPr>
              <w:t>1</w:t>
            </w:r>
            <w:r w:rsidR="00AB24C2" w:rsidRPr="001219B0">
              <w:rPr>
                <w:rFonts w:eastAsia="Calibri"/>
                <w:sz w:val="18"/>
                <w:szCs w:val="18"/>
                <w:lang w:eastAsia="en-US"/>
              </w:rPr>
              <w:t>)</w:t>
            </w:r>
            <w:r w:rsidR="00322366" w:rsidRPr="001219B0">
              <w:rPr>
                <w:rStyle w:val="Refdenotaderodap"/>
                <w:rFonts w:eastAsia="Calibri"/>
                <w:sz w:val="18"/>
                <w:szCs w:val="18"/>
                <w:lang w:eastAsia="en-US"/>
              </w:rPr>
              <w:footnoteReference w:id="7"/>
            </w:r>
          </w:p>
        </w:tc>
        <w:tc>
          <w:tcPr>
            <w:tcW w:w="815" w:type="pct"/>
            <w:tcBorders>
              <w:top w:val="single" w:sz="4" w:space="0" w:color="000000"/>
              <w:left w:val="single" w:sz="4" w:space="0" w:color="000000"/>
              <w:bottom w:val="single" w:sz="4" w:space="0" w:color="000000"/>
              <w:right w:val="nil"/>
            </w:tcBorders>
          </w:tcPr>
          <w:p w14:paraId="1F423326" w14:textId="77777777" w:rsidR="005C43E6" w:rsidRPr="001219B0" w:rsidRDefault="005C43E6">
            <w:pPr>
              <w:snapToGrid w:val="0"/>
              <w:spacing w:after="160" w:line="360" w:lineRule="auto"/>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49B0FD5D" w14:textId="77777777" w:rsidR="005C43E6" w:rsidRPr="001219B0" w:rsidRDefault="005C43E6">
            <w:pPr>
              <w:snapToGrid w:val="0"/>
              <w:spacing w:after="160" w:line="360" w:lineRule="auto"/>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25F4BA58" w14:textId="77777777" w:rsidR="005C43E6" w:rsidRPr="001219B0" w:rsidRDefault="005C43E6">
            <w:pPr>
              <w:snapToGrid w:val="0"/>
              <w:spacing w:after="160" w:line="360" w:lineRule="auto"/>
              <w:rPr>
                <w:sz w:val="18"/>
                <w:szCs w:val="18"/>
                <w:lang w:eastAsia="en-US"/>
              </w:rPr>
            </w:pPr>
          </w:p>
        </w:tc>
      </w:tr>
      <w:tr w:rsidR="001219B0" w:rsidRPr="001219B0" w14:paraId="0453C9C9" w14:textId="77777777" w:rsidTr="00AC1ADD">
        <w:tc>
          <w:tcPr>
            <w:tcW w:w="3421" w:type="pct"/>
            <w:tcBorders>
              <w:top w:val="single" w:sz="4" w:space="0" w:color="000000"/>
              <w:left w:val="single" w:sz="4" w:space="0" w:color="000000"/>
              <w:bottom w:val="single" w:sz="4" w:space="0" w:color="000000"/>
              <w:right w:val="nil"/>
            </w:tcBorders>
            <w:hideMark/>
          </w:tcPr>
          <w:p w14:paraId="0E89873E" w14:textId="04EB0750" w:rsidR="00C70729" w:rsidRPr="001219B0" w:rsidRDefault="00C70729" w:rsidP="0048694E">
            <w:pPr>
              <w:numPr>
                <w:ilvl w:val="0"/>
                <w:numId w:val="3"/>
              </w:numPr>
              <w:suppressAutoHyphens/>
              <w:spacing w:line="276" w:lineRule="auto"/>
              <w:ind w:left="346" w:hanging="284"/>
              <w:jc w:val="both"/>
              <w:rPr>
                <w:rFonts w:eastAsia="Calibri"/>
                <w:sz w:val="18"/>
                <w:szCs w:val="18"/>
                <w:lang w:eastAsia="en-US"/>
              </w:rPr>
            </w:pPr>
            <w:r w:rsidRPr="001219B0">
              <w:rPr>
                <w:rFonts w:eastAsia="Calibri"/>
                <w:sz w:val="18"/>
                <w:szCs w:val="18"/>
                <w:lang w:eastAsia="en-US"/>
              </w:rPr>
              <w:t xml:space="preserve">Quando da solicitação de </w:t>
            </w:r>
            <w:r w:rsidRPr="001219B0">
              <w:rPr>
                <w:rFonts w:eastAsia="Calibri"/>
                <w:b/>
                <w:bCs/>
                <w:sz w:val="18"/>
                <w:szCs w:val="18"/>
                <w:lang w:eastAsia="en-US"/>
              </w:rPr>
              <w:t>modificação do regime de execução</w:t>
            </w:r>
            <w:r w:rsidRPr="001219B0">
              <w:rPr>
                <w:rFonts w:eastAsia="Calibri"/>
                <w:sz w:val="18"/>
                <w:szCs w:val="18"/>
                <w:lang w:eastAsia="en-US"/>
              </w:rPr>
              <w:t xml:space="preserve"> consta motivação </w:t>
            </w:r>
            <w:r w:rsidR="0048694E" w:rsidRPr="001219B0">
              <w:rPr>
                <w:rFonts w:eastAsia="Calibri"/>
                <w:sz w:val="18"/>
                <w:szCs w:val="18"/>
                <w:lang w:eastAsia="en-US"/>
              </w:rPr>
              <w:t>(</w:t>
            </w:r>
            <w:r w:rsidRPr="001219B0">
              <w:rPr>
                <w:rFonts w:eastAsia="Calibri"/>
                <w:sz w:val="18"/>
                <w:szCs w:val="18"/>
                <w:lang w:eastAsia="en-US"/>
              </w:rPr>
              <w:t>ampla</w:t>
            </w:r>
            <w:r w:rsidR="0048694E" w:rsidRPr="001219B0">
              <w:rPr>
                <w:rFonts w:eastAsia="Calibri"/>
                <w:sz w:val="18"/>
                <w:szCs w:val="18"/>
                <w:lang w:eastAsia="en-US"/>
              </w:rPr>
              <w:t xml:space="preserve"> e</w:t>
            </w:r>
            <w:r w:rsidRPr="001219B0">
              <w:rPr>
                <w:rFonts w:eastAsia="Calibri"/>
                <w:sz w:val="18"/>
                <w:szCs w:val="18"/>
                <w:lang w:eastAsia="en-US"/>
              </w:rPr>
              <w:t xml:space="preserve"> comprovada</w:t>
            </w:r>
            <w:r w:rsidR="0048694E" w:rsidRPr="001219B0">
              <w:rPr>
                <w:rFonts w:eastAsia="Calibri"/>
                <w:sz w:val="18"/>
                <w:szCs w:val="18"/>
                <w:lang w:eastAsia="en-US"/>
              </w:rPr>
              <w:t>)</w:t>
            </w:r>
            <w:r w:rsidRPr="001219B0">
              <w:rPr>
                <w:rFonts w:eastAsia="Calibri"/>
                <w:sz w:val="18"/>
                <w:szCs w:val="18"/>
                <w:lang w:eastAsia="en-US"/>
              </w:rPr>
              <w:t>, com base em aspectos e razões técnicas, a respeito das condições que serão estabelecidas</w:t>
            </w:r>
            <w:r w:rsidR="0048694E" w:rsidRPr="001219B0">
              <w:rPr>
                <w:rFonts w:eastAsia="Calibri"/>
                <w:sz w:val="18"/>
                <w:szCs w:val="18"/>
                <w:lang w:eastAsia="en-US"/>
              </w:rPr>
              <w:t>, garantindo que a vantajosidade da oferta obtida na licitação seja presevada, mantendo o negócio vantajoso para administração</w:t>
            </w:r>
            <w:r w:rsidRPr="001219B0">
              <w:rPr>
                <w:rFonts w:eastAsia="Calibri"/>
                <w:sz w:val="18"/>
                <w:szCs w:val="18"/>
                <w:lang w:eastAsia="en-US"/>
              </w:rPr>
              <w:t xml:space="preserve">? </w:t>
            </w:r>
            <w:r w:rsidR="0048694E" w:rsidRPr="001219B0">
              <w:rPr>
                <w:rFonts w:eastAsia="Calibri"/>
                <w:sz w:val="18"/>
                <w:szCs w:val="18"/>
                <w:lang w:eastAsia="en-US"/>
              </w:rPr>
              <w:t>(art. 124, inc. II, “b” da Lei Federal nº 14.133/21)</w:t>
            </w:r>
          </w:p>
        </w:tc>
        <w:tc>
          <w:tcPr>
            <w:tcW w:w="815" w:type="pct"/>
            <w:tcBorders>
              <w:top w:val="single" w:sz="4" w:space="0" w:color="000000"/>
              <w:left w:val="single" w:sz="4" w:space="0" w:color="000000"/>
              <w:bottom w:val="single" w:sz="4" w:space="0" w:color="000000"/>
              <w:right w:val="nil"/>
            </w:tcBorders>
          </w:tcPr>
          <w:p w14:paraId="4D15FD9C" w14:textId="77777777" w:rsidR="005C43E6" w:rsidRPr="001219B0" w:rsidRDefault="005C43E6">
            <w:pPr>
              <w:snapToGrid w:val="0"/>
              <w:spacing w:after="160" w:line="360" w:lineRule="auto"/>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5FAF2A54" w14:textId="77777777" w:rsidR="005C43E6" w:rsidRPr="001219B0" w:rsidRDefault="005C43E6">
            <w:pPr>
              <w:snapToGrid w:val="0"/>
              <w:spacing w:after="160" w:line="360" w:lineRule="auto"/>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5DF7BE7E" w14:textId="77777777" w:rsidR="005C43E6" w:rsidRPr="001219B0" w:rsidRDefault="005C43E6">
            <w:pPr>
              <w:snapToGrid w:val="0"/>
              <w:spacing w:after="160" w:line="360" w:lineRule="auto"/>
              <w:rPr>
                <w:sz w:val="18"/>
                <w:szCs w:val="18"/>
                <w:lang w:eastAsia="en-US"/>
              </w:rPr>
            </w:pPr>
          </w:p>
        </w:tc>
      </w:tr>
      <w:tr w:rsidR="001219B0" w:rsidRPr="001219B0" w14:paraId="0F16CD32" w14:textId="77777777" w:rsidTr="00AC1ADD">
        <w:tc>
          <w:tcPr>
            <w:tcW w:w="3421" w:type="pct"/>
            <w:tcBorders>
              <w:top w:val="single" w:sz="4" w:space="0" w:color="000000"/>
              <w:left w:val="single" w:sz="4" w:space="0" w:color="000000"/>
              <w:bottom w:val="single" w:sz="4" w:space="0" w:color="000000"/>
              <w:right w:val="nil"/>
            </w:tcBorders>
          </w:tcPr>
          <w:p w14:paraId="592D8E45" w14:textId="01D6A467" w:rsidR="0048694E" w:rsidRPr="001219B0" w:rsidRDefault="0048694E" w:rsidP="00F13BAE">
            <w:pPr>
              <w:numPr>
                <w:ilvl w:val="0"/>
                <w:numId w:val="3"/>
              </w:numPr>
              <w:suppressAutoHyphens/>
              <w:spacing w:line="276" w:lineRule="auto"/>
              <w:ind w:left="346" w:hanging="284"/>
              <w:jc w:val="both"/>
              <w:rPr>
                <w:rFonts w:eastAsia="Calibri"/>
                <w:sz w:val="18"/>
                <w:szCs w:val="18"/>
                <w:lang w:eastAsia="en-US"/>
              </w:rPr>
            </w:pPr>
            <w:r w:rsidRPr="001219B0">
              <w:rPr>
                <w:rFonts w:eastAsia="Calibri"/>
                <w:sz w:val="18"/>
                <w:szCs w:val="18"/>
                <w:lang w:eastAsia="en-US"/>
              </w:rPr>
              <w:t>Área técnica manifestou acerca da imprescindibilidade dessa modificação no curso da execução e atestou a ausência de qualquer prejuízo para a contratante?</w:t>
            </w:r>
          </w:p>
        </w:tc>
        <w:tc>
          <w:tcPr>
            <w:tcW w:w="815" w:type="pct"/>
            <w:tcBorders>
              <w:top w:val="single" w:sz="4" w:space="0" w:color="000000"/>
              <w:left w:val="single" w:sz="4" w:space="0" w:color="000000"/>
              <w:bottom w:val="single" w:sz="4" w:space="0" w:color="000000"/>
              <w:right w:val="nil"/>
            </w:tcBorders>
          </w:tcPr>
          <w:p w14:paraId="43B7DE35" w14:textId="77777777" w:rsidR="0048694E" w:rsidRPr="001219B0" w:rsidRDefault="0048694E">
            <w:pPr>
              <w:snapToGrid w:val="0"/>
              <w:spacing w:after="160" w:line="360" w:lineRule="auto"/>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7FD47BBB" w14:textId="77777777" w:rsidR="0048694E" w:rsidRPr="001219B0" w:rsidRDefault="0048694E">
            <w:pPr>
              <w:snapToGrid w:val="0"/>
              <w:spacing w:after="160" w:line="360" w:lineRule="auto"/>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159BA507" w14:textId="77777777" w:rsidR="0048694E" w:rsidRPr="001219B0" w:rsidRDefault="0048694E">
            <w:pPr>
              <w:snapToGrid w:val="0"/>
              <w:spacing w:after="160" w:line="360" w:lineRule="auto"/>
              <w:rPr>
                <w:sz w:val="18"/>
                <w:szCs w:val="18"/>
                <w:lang w:eastAsia="en-US"/>
              </w:rPr>
            </w:pPr>
          </w:p>
        </w:tc>
      </w:tr>
      <w:tr w:rsidR="001219B0" w:rsidRPr="001219B0" w14:paraId="2A55FC28" w14:textId="77777777" w:rsidTr="00AC1ADD">
        <w:tc>
          <w:tcPr>
            <w:tcW w:w="3421" w:type="pct"/>
            <w:tcBorders>
              <w:top w:val="single" w:sz="4" w:space="0" w:color="000000"/>
              <w:left w:val="single" w:sz="4" w:space="0" w:color="000000"/>
              <w:bottom w:val="single" w:sz="4" w:space="0" w:color="000000"/>
              <w:right w:val="nil"/>
            </w:tcBorders>
            <w:hideMark/>
          </w:tcPr>
          <w:p w14:paraId="1D70C79D" w14:textId="57C5BB13" w:rsidR="005C43E6" w:rsidRPr="001219B0" w:rsidRDefault="0048694E" w:rsidP="002115CD">
            <w:pPr>
              <w:numPr>
                <w:ilvl w:val="0"/>
                <w:numId w:val="3"/>
              </w:numPr>
              <w:suppressAutoHyphens/>
              <w:spacing w:line="276" w:lineRule="auto"/>
              <w:ind w:left="346" w:hanging="284"/>
              <w:jc w:val="both"/>
              <w:rPr>
                <w:rFonts w:eastAsia="Calibri"/>
                <w:sz w:val="18"/>
                <w:szCs w:val="18"/>
                <w:lang w:eastAsia="en-US"/>
              </w:rPr>
            </w:pPr>
            <w:r w:rsidRPr="001219B0">
              <w:rPr>
                <w:rFonts w:eastAsia="Calibri"/>
                <w:sz w:val="18"/>
                <w:szCs w:val="18"/>
                <w:lang w:eastAsia="en-US"/>
              </w:rPr>
              <w:t>Quando da n</w:t>
            </w:r>
            <w:r w:rsidR="005C43E6" w:rsidRPr="001219B0">
              <w:rPr>
                <w:rFonts w:eastAsia="Calibri"/>
                <w:sz w:val="18"/>
                <w:szCs w:val="18"/>
                <w:lang w:eastAsia="en-US"/>
              </w:rPr>
              <w:t xml:space="preserve">ecessidade de </w:t>
            </w:r>
            <w:r w:rsidR="005C43E6" w:rsidRPr="001219B0">
              <w:rPr>
                <w:rFonts w:eastAsia="Calibri"/>
                <w:b/>
                <w:bCs/>
                <w:sz w:val="18"/>
                <w:szCs w:val="18"/>
                <w:lang w:eastAsia="en-US"/>
              </w:rPr>
              <w:t>modificação da forma de pagamento</w:t>
            </w:r>
            <w:r w:rsidR="005C43E6" w:rsidRPr="001219B0">
              <w:rPr>
                <w:rFonts w:eastAsia="Calibri"/>
                <w:sz w:val="18"/>
                <w:szCs w:val="18"/>
                <w:lang w:eastAsia="en-US"/>
              </w:rPr>
              <w:t>, por imposição de circunstâncias superveniente mantida o valor inicial atualizado</w:t>
            </w:r>
            <w:r w:rsidR="005C43E6" w:rsidRPr="001219B0">
              <w:rPr>
                <w:rFonts w:eastAsia="Calibri"/>
                <w:sz w:val="18"/>
                <w:szCs w:val="18"/>
                <w:vertAlign w:val="superscript"/>
                <w:lang w:eastAsia="en-US"/>
              </w:rPr>
              <w:footnoteReference w:id="8"/>
            </w:r>
            <w:r w:rsidR="005C43E6" w:rsidRPr="001219B0">
              <w:rPr>
                <w:rFonts w:eastAsia="Calibri"/>
                <w:sz w:val="18"/>
                <w:szCs w:val="18"/>
                <w:lang w:eastAsia="en-US"/>
              </w:rPr>
              <w:t xml:space="preserve">? </w:t>
            </w:r>
            <w:r w:rsidR="00AB24C2" w:rsidRPr="001219B0">
              <w:rPr>
                <w:rFonts w:eastAsia="Calibri"/>
                <w:sz w:val="18"/>
                <w:szCs w:val="18"/>
                <w:lang w:eastAsia="en-US"/>
              </w:rPr>
              <w:t xml:space="preserve">(art. 124, inc. II, “c” da Lei </w:t>
            </w:r>
            <w:r w:rsidR="002115CD" w:rsidRPr="001219B0">
              <w:rPr>
                <w:rFonts w:eastAsia="Calibri"/>
                <w:sz w:val="18"/>
                <w:szCs w:val="18"/>
                <w:lang w:eastAsia="en-US"/>
              </w:rPr>
              <w:t xml:space="preserve">Federal </w:t>
            </w:r>
            <w:r w:rsidR="00AB24C2" w:rsidRPr="001219B0">
              <w:rPr>
                <w:rFonts w:eastAsia="Calibri"/>
                <w:sz w:val="18"/>
                <w:szCs w:val="18"/>
                <w:lang w:eastAsia="en-US"/>
              </w:rPr>
              <w:t>nº 14.133/2</w:t>
            </w:r>
            <w:r w:rsidR="00543465" w:rsidRPr="001219B0">
              <w:rPr>
                <w:rFonts w:eastAsia="Calibri"/>
                <w:sz w:val="18"/>
                <w:szCs w:val="18"/>
                <w:lang w:eastAsia="en-US"/>
              </w:rPr>
              <w:t>1</w:t>
            </w:r>
            <w:r w:rsidR="002115CD" w:rsidRPr="001219B0">
              <w:rPr>
                <w:rFonts w:eastAsia="Calibri"/>
                <w:sz w:val="18"/>
                <w:szCs w:val="18"/>
                <w:lang w:eastAsia="en-US"/>
              </w:rPr>
              <w:t>)</w:t>
            </w:r>
          </w:p>
        </w:tc>
        <w:tc>
          <w:tcPr>
            <w:tcW w:w="815" w:type="pct"/>
            <w:tcBorders>
              <w:top w:val="single" w:sz="4" w:space="0" w:color="000000"/>
              <w:left w:val="single" w:sz="4" w:space="0" w:color="000000"/>
              <w:bottom w:val="single" w:sz="4" w:space="0" w:color="000000"/>
              <w:right w:val="nil"/>
            </w:tcBorders>
          </w:tcPr>
          <w:p w14:paraId="0AA6903B" w14:textId="77777777" w:rsidR="005C43E6" w:rsidRPr="001219B0" w:rsidRDefault="005C43E6">
            <w:pPr>
              <w:snapToGrid w:val="0"/>
              <w:spacing w:after="160" w:line="360" w:lineRule="auto"/>
              <w:rPr>
                <w:sz w:val="18"/>
                <w:szCs w:val="18"/>
                <w:lang w:eastAsia="en-US"/>
              </w:rPr>
            </w:pPr>
          </w:p>
        </w:tc>
        <w:tc>
          <w:tcPr>
            <w:tcW w:w="431" w:type="pct"/>
            <w:tcBorders>
              <w:top w:val="single" w:sz="4" w:space="0" w:color="000000"/>
              <w:left w:val="single" w:sz="4" w:space="0" w:color="000000"/>
              <w:bottom w:val="single" w:sz="4" w:space="0" w:color="000000"/>
              <w:right w:val="nil"/>
            </w:tcBorders>
          </w:tcPr>
          <w:p w14:paraId="32F7D1C5" w14:textId="77777777" w:rsidR="005C43E6" w:rsidRPr="001219B0" w:rsidRDefault="005C43E6">
            <w:pPr>
              <w:snapToGrid w:val="0"/>
              <w:spacing w:after="160" w:line="360" w:lineRule="auto"/>
              <w:rPr>
                <w:sz w:val="18"/>
                <w:szCs w:val="18"/>
                <w:lang w:eastAsia="en-US"/>
              </w:rPr>
            </w:pPr>
          </w:p>
        </w:tc>
        <w:tc>
          <w:tcPr>
            <w:tcW w:w="334" w:type="pct"/>
            <w:tcBorders>
              <w:top w:val="single" w:sz="4" w:space="0" w:color="000000"/>
              <w:left w:val="single" w:sz="4" w:space="0" w:color="000000"/>
              <w:bottom w:val="single" w:sz="4" w:space="0" w:color="000000"/>
              <w:right w:val="single" w:sz="4" w:space="0" w:color="000000"/>
            </w:tcBorders>
          </w:tcPr>
          <w:p w14:paraId="68373E18" w14:textId="77777777" w:rsidR="005C43E6" w:rsidRPr="001219B0" w:rsidRDefault="005C43E6">
            <w:pPr>
              <w:snapToGrid w:val="0"/>
              <w:spacing w:after="160" w:line="360" w:lineRule="auto"/>
              <w:rPr>
                <w:sz w:val="18"/>
                <w:szCs w:val="18"/>
                <w:lang w:eastAsia="en-US"/>
              </w:rPr>
            </w:pPr>
          </w:p>
        </w:tc>
      </w:tr>
    </w:tbl>
    <w:p w14:paraId="5F4FB95B" w14:textId="77777777" w:rsidR="005C43E6" w:rsidRPr="001219B0" w:rsidRDefault="005C43E6" w:rsidP="005C43E6">
      <w:pPr>
        <w:spacing w:after="160" w:line="256" w:lineRule="auto"/>
        <w:rPr>
          <w:rFonts w:eastAsia="Calibri"/>
          <w:sz w:val="18"/>
          <w:szCs w:val="18"/>
          <w:lang w:eastAsia="en-US"/>
        </w:rPr>
      </w:pPr>
      <w:r w:rsidRPr="001219B0">
        <w:rPr>
          <w:rFonts w:eastAsia="Calibri"/>
          <w:sz w:val="18"/>
          <w:szCs w:val="18"/>
          <w:lang w:eastAsia="en-US"/>
        </w:rPr>
        <w:t>Apontamentos:</w:t>
      </w:r>
    </w:p>
    <w:tbl>
      <w:tblPr>
        <w:tblW w:w="5000" w:type="pct"/>
        <w:tblLook w:val="04A0" w:firstRow="1" w:lastRow="0" w:firstColumn="1" w:lastColumn="0" w:noHBand="0" w:noVBand="1"/>
      </w:tblPr>
      <w:tblGrid>
        <w:gridCol w:w="9288"/>
      </w:tblGrid>
      <w:tr w:rsidR="001219B0" w:rsidRPr="001219B0" w14:paraId="1E46297B" w14:textId="77777777" w:rsidTr="00AC1ADD">
        <w:tc>
          <w:tcPr>
            <w:tcW w:w="5000" w:type="pct"/>
            <w:tcBorders>
              <w:top w:val="single" w:sz="4" w:space="0" w:color="000000"/>
              <w:left w:val="single" w:sz="4" w:space="0" w:color="000000"/>
              <w:bottom w:val="single" w:sz="4" w:space="0" w:color="000000"/>
              <w:right w:val="single" w:sz="4" w:space="0" w:color="000000"/>
            </w:tcBorders>
          </w:tcPr>
          <w:p w14:paraId="1086CBD3" w14:textId="77777777" w:rsidR="005C43E6" w:rsidRPr="001219B0" w:rsidRDefault="005C43E6" w:rsidP="002B32C5">
            <w:pPr>
              <w:snapToGrid w:val="0"/>
              <w:rPr>
                <w:rFonts w:eastAsia="Calibri"/>
                <w:b/>
                <w:sz w:val="18"/>
                <w:szCs w:val="18"/>
                <w:lang w:eastAsia="en-US"/>
              </w:rPr>
            </w:pPr>
          </w:p>
        </w:tc>
      </w:tr>
      <w:tr w:rsidR="001219B0" w:rsidRPr="001219B0" w14:paraId="4180CB40" w14:textId="77777777" w:rsidTr="00AC1ADD">
        <w:tc>
          <w:tcPr>
            <w:tcW w:w="5000" w:type="pct"/>
            <w:tcBorders>
              <w:top w:val="single" w:sz="4" w:space="0" w:color="000000"/>
              <w:left w:val="single" w:sz="4" w:space="0" w:color="000000"/>
              <w:bottom w:val="single" w:sz="4" w:space="0" w:color="000000"/>
              <w:right w:val="single" w:sz="4" w:space="0" w:color="000000"/>
            </w:tcBorders>
          </w:tcPr>
          <w:p w14:paraId="04B226A2" w14:textId="77777777" w:rsidR="005C43E6" w:rsidRPr="001219B0" w:rsidRDefault="005C43E6" w:rsidP="002B32C5">
            <w:pPr>
              <w:snapToGrid w:val="0"/>
              <w:rPr>
                <w:rFonts w:eastAsia="Calibri"/>
                <w:b/>
                <w:sz w:val="18"/>
                <w:szCs w:val="18"/>
                <w:lang w:eastAsia="en-US"/>
              </w:rPr>
            </w:pPr>
          </w:p>
        </w:tc>
      </w:tr>
      <w:tr w:rsidR="001219B0" w:rsidRPr="001219B0" w14:paraId="3F3DFC90" w14:textId="77777777" w:rsidTr="00AC1ADD">
        <w:tc>
          <w:tcPr>
            <w:tcW w:w="5000" w:type="pct"/>
            <w:tcBorders>
              <w:top w:val="single" w:sz="4" w:space="0" w:color="000000"/>
              <w:left w:val="single" w:sz="4" w:space="0" w:color="000000"/>
              <w:bottom w:val="single" w:sz="4" w:space="0" w:color="000000"/>
              <w:right w:val="single" w:sz="4" w:space="0" w:color="000000"/>
            </w:tcBorders>
          </w:tcPr>
          <w:p w14:paraId="05022B26" w14:textId="77777777" w:rsidR="005C43E6" w:rsidRPr="001219B0" w:rsidRDefault="005C43E6" w:rsidP="002B32C5">
            <w:pPr>
              <w:snapToGrid w:val="0"/>
              <w:rPr>
                <w:rFonts w:eastAsia="Calibri"/>
                <w:b/>
                <w:sz w:val="18"/>
                <w:szCs w:val="18"/>
                <w:lang w:eastAsia="en-US"/>
              </w:rPr>
            </w:pPr>
          </w:p>
        </w:tc>
      </w:tr>
      <w:tr w:rsidR="001219B0" w:rsidRPr="001219B0" w14:paraId="021276AC" w14:textId="77777777" w:rsidTr="00AC1ADD">
        <w:tc>
          <w:tcPr>
            <w:tcW w:w="5000" w:type="pct"/>
            <w:tcBorders>
              <w:top w:val="single" w:sz="4" w:space="0" w:color="000000"/>
              <w:left w:val="single" w:sz="4" w:space="0" w:color="000000"/>
              <w:bottom w:val="single" w:sz="4" w:space="0" w:color="000000"/>
              <w:right w:val="single" w:sz="4" w:space="0" w:color="000000"/>
            </w:tcBorders>
          </w:tcPr>
          <w:p w14:paraId="480EFD26" w14:textId="77777777" w:rsidR="005C43E6" w:rsidRPr="001219B0" w:rsidRDefault="005C43E6" w:rsidP="002B32C5">
            <w:pPr>
              <w:snapToGrid w:val="0"/>
              <w:rPr>
                <w:rFonts w:eastAsia="Calibri"/>
                <w:b/>
                <w:sz w:val="18"/>
                <w:szCs w:val="18"/>
                <w:lang w:eastAsia="en-US"/>
              </w:rPr>
            </w:pPr>
          </w:p>
        </w:tc>
      </w:tr>
      <w:tr w:rsidR="001219B0" w:rsidRPr="001219B0" w14:paraId="77F81E79" w14:textId="77777777" w:rsidTr="00AC1ADD">
        <w:tc>
          <w:tcPr>
            <w:tcW w:w="5000" w:type="pct"/>
            <w:tcBorders>
              <w:top w:val="single" w:sz="4" w:space="0" w:color="000000"/>
              <w:left w:val="single" w:sz="4" w:space="0" w:color="000000"/>
              <w:bottom w:val="single" w:sz="4" w:space="0" w:color="000000"/>
              <w:right w:val="single" w:sz="4" w:space="0" w:color="000000"/>
            </w:tcBorders>
          </w:tcPr>
          <w:p w14:paraId="195F4C20" w14:textId="77777777" w:rsidR="005C43E6" w:rsidRPr="001219B0" w:rsidRDefault="005C43E6" w:rsidP="002B32C5">
            <w:pPr>
              <w:snapToGrid w:val="0"/>
              <w:rPr>
                <w:rFonts w:eastAsia="Calibri"/>
                <w:b/>
                <w:sz w:val="18"/>
                <w:szCs w:val="18"/>
                <w:lang w:eastAsia="en-US"/>
              </w:rPr>
            </w:pPr>
          </w:p>
        </w:tc>
      </w:tr>
      <w:tr w:rsidR="005C43E6" w:rsidRPr="001219B0" w14:paraId="53DD1BD0" w14:textId="77777777" w:rsidTr="00AC1ADD">
        <w:tc>
          <w:tcPr>
            <w:tcW w:w="5000" w:type="pct"/>
            <w:tcBorders>
              <w:top w:val="single" w:sz="4" w:space="0" w:color="000000"/>
              <w:left w:val="single" w:sz="4" w:space="0" w:color="000000"/>
              <w:bottom w:val="single" w:sz="4" w:space="0" w:color="000000"/>
              <w:right w:val="single" w:sz="4" w:space="0" w:color="000000"/>
            </w:tcBorders>
          </w:tcPr>
          <w:p w14:paraId="04B5F74E" w14:textId="77777777" w:rsidR="005C43E6" w:rsidRPr="001219B0" w:rsidRDefault="005C43E6" w:rsidP="002B32C5">
            <w:pPr>
              <w:snapToGrid w:val="0"/>
              <w:rPr>
                <w:rFonts w:eastAsia="Calibri"/>
                <w:b/>
                <w:sz w:val="18"/>
                <w:szCs w:val="18"/>
                <w:lang w:eastAsia="en-US"/>
              </w:rPr>
            </w:pPr>
          </w:p>
        </w:tc>
      </w:tr>
    </w:tbl>
    <w:p w14:paraId="6480E868" w14:textId="77777777" w:rsidR="005C43E6" w:rsidRPr="001219B0" w:rsidRDefault="005C43E6" w:rsidP="005C43E6">
      <w:pPr>
        <w:spacing w:after="160" w:line="256" w:lineRule="auto"/>
        <w:rPr>
          <w:rFonts w:eastAsia="Arial"/>
          <w:b/>
          <w:sz w:val="18"/>
          <w:szCs w:val="18"/>
          <w:lang w:eastAsia="en-US"/>
        </w:rPr>
      </w:pPr>
    </w:p>
    <w:p w14:paraId="4060C28F" w14:textId="77777777" w:rsidR="005C43E6" w:rsidRPr="001219B0" w:rsidRDefault="005C43E6" w:rsidP="005C43E6">
      <w:pPr>
        <w:spacing w:after="160" w:line="256" w:lineRule="auto"/>
        <w:jc w:val="center"/>
        <w:rPr>
          <w:rFonts w:eastAsia="Arial"/>
          <w:b/>
          <w:sz w:val="18"/>
          <w:szCs w:val="18"/>
          <w:lang w:eastAsia="en-US"/>
        </w:rPr>
      </w:pPr>
      <w:r w:rsidRPr="001219B0">
        <w:rPr>
          <w:rFonts w:eastAsia="Arial"/>
          <w:b/>
          <w:sz w:val="18"/>
          <w:szCs w:val="18"/>
          <w:lang w:eastAsia="en-US"/>
        </w:rPr>
        <w:t>Assinatura e Matrícula do Servidor</w:t>
      </w:r>
    </w:p>
    <w:p w14:paraId="77A99A87" w14:textId="77777777" w:rsidR="007425C9" w:rsidRPr="001219B0" w:rsidRDefault="007425C9">
      <w:pPr>
        <w:tabs>
          <w:tab w:val="left" w:pos="7440"/>
        </w:tabs>
        <w:ind w:left="283"/>
        <w:jc w:val="center"/>
        <w:rPr>
          <w:bCs/>
        </w:rPr>
      </w:pPr>
    </w:p>
    <w:p w14:paraId="676E9EAB" w14:textId="35CD3671" w:rsidR="00AC22BA" w:rsidRPr="001219B0" w:rsidRDefault="00AC22BA">
      <w:pPr>
        <w:tabs>
          <w:tab w:val="left" w:pos="7440"/>
        </w:tabs>
        <w:ind w:left="283"/>
        <w:jc w:val="center"/>
        <w:rPr>
          <w:bCs/>
        </w:rPr>
      </w:pPr>
    </w:p>
    <w:sectPr w:rsidR="00AC22BA" w:rsidRPr="001219B0" w:rsidSect="002B32C5">
      <w:headerReference w:type="default" r:id="rId9"/>
      <w:footerReference w:type="default" r:id="rId10"/>
      <w:pgSz w:w="11906" w:h="16838"/>
      <w:pgMar w:top="1134" w:right="907" w:bottom="1077" w:left="1701" w:header="714" w:footer="8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CC02" w14:textId="77777777" w:rsidR="008E5230" w:rsidRDefault="008E5230">
      <w:r>
        <w:separator/>
      </w:r>
    </w:p>
  </w:endnote>
  <w:endnote w:type="continuationSeparator" w:id="0">
    <w:p w14:paraId="2907FDC3" w14:textId="77777777" w:rsidR="008E5230" w:rsidRDefault="008E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28B7" w14:textId="4BDE208B" w:rsidR="007425C9" w:rsidRDefault="005C43E6">
    <w:pPr>
      <w:pBdr>
        <w:top w:val="nil"/>
        <w:left w:val="nil"/>
        <w:bottom w:val="nil"/>
        <w:right w:val="nil"/>
        <w:between w:val="nil"/>
      </w:pBdr>
      <w:rPr>
        <w:color w:val="000000"/>
        <w:sz w:val="20"/>
        <w:szCs w:val="20"/>
      </w:rPr>
    </w:pPr>
    <w:r>
      <w:rPr>
        <w:noProof/>
      </w:rPr>
      <mc:AlternateContent>
        <mc:Choice Requires="wps">
          <w:drawing>
            <wp:anchor distT="0" distB="0" distL="114300" distR="114300" simplePos="0" relativeHeight="251658240" behindDoc="1" locked="0" layoutInCell="0" allowOverlap="1" wp14:anchorId="65004CCC" wp14:editId="190765EE">
              <wp:simplePos x="0" y="0"/>
              <wp:positionH relativeFrom="margin">
                <wp:posOffset>-740465880</wp:posOffset>
              </wp:positionH>
              <wp:positionV relativeFrom="paragraph">
                <wp:posOffset>0</wp:posOffset>
              </wp:positionV>
              <wp:extent cx="9331325" cy="8738235"/>
              <wp:effectExtent l="0" t="0" r="0" b="0"/>
              <wp:wrapNone/>
              <wp:docPr id="1380192646"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1325" cy="8738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E3BB1" id="Retângulo 3" o:spid="_x0000_s1026" style="position:absolute;margin-left:-58304.4pt;margin-top:0;width:734.75pt;height:688.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" o:allowincell="f" filled="f" stroked="f">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3869" w14:textId="77777777" w:rsidR="008E5230" w:rsidRDefault="008E5230">
      <w:r>
        <w:separator/>
      </w:r>
    </w:p>
  </w:footnote>
  <w:footnote w:type="continuationSeparator" w:id="0">
    <w:p w14:paraId="05FBE626" w14:textId="77777777" w:rsidR="008E5230" w:rsidRDefault="008E5230">
      <w:r>
        <w:continuationSeparator/>
      </w:r>
    </w:p>
  </w:footnote>
  <w:footnote w:id="1">
    <w:p w14:paraId="55872CFC" w14:textId="27828EFE" w:rsidR="00D518E6" w:rsidRPr="00B54A43" w:rsidRDefault="00D518E6" w:rsidP="00AC1ADD">
      <w:pPr>
        <w:pStyle w:val="Textodenotaderodap"/>
        <w:ind w:left="142" w:hanging="142"/>
        <w:rPr>
          <w:sz w:val="16"/>
          <w:szCs w:val="16"/>
        </w:rPr>
      </w:pPr>
      <w:r w:rsidRPr="00B54A43">
        <w:rPr>
          <w:rStyle w:val="Refdenotaderodap"/>
          <w:sz w:val="16"/>
          <w:szCs w:val="16"/>
        </w:rPr>
        <w:footnoteRef/>
      </w:r>
      <w:r w:rsidRPr="00B54A43">
        <w:rPr>
          <w:sz w:val="16"/>
          <w:szCs w:val="16"/>
        </w:rPr>
        <w:t xml:space="preserve"> A emissão de certidões negativas de inidoneidade, de impedimento e de débitos trabalhistas: Certidão Negativa do Cadastro Nacional de Empresas Inidôneas e Suspensa (CEIS); Certidão Negativa do Cadastro Nacional de Empresas Punidas (</w:t>
      </w:r>
      <w:proofErr w:type="spellStart"/>
      <w:r w:rsidRPr="00B54A43">
        <w:rPr>
          <w:sz w:val="16"/>
          <w:szCs w:val="16"/>
        </w:rPr>
        <w:t>Cnep</w:t>
      </w:r>
      <w:proofErr w:type="spellEnd"/>
      <w:r w:rsidRPr="00B54A43">
        <w:rPr>
          <w:sz w:val="16"/>
          <w:szCs w:val="16"/>
        </w:rPr>
        <w:t>); e Certidão Negativa de Débitos Trabalhistas (CNDT).</w:t>
      </w:r>
    </w:p>
  </w:footnote>
  <w:footnote w:id="2">
    <w:p w14:paraId="0F97572A" w14:textId="6A24559A" w:rsidR="00CA3EB9" w:rsidRPr="00B54A43" w:rsidRDefault="00CA3EB9" w:rsidP="00AC1ADD">
      <w:pPr>
        <w:pStyle w:val="Textodenotaderodap"/>
        <w:ind w:left="142" w:hanging="142"/>
        <w:rPr>
          <w:b/>
          <w:bCs/>
          <w:strike/>
          <w:sz w:val="16"/>
          <w:szCs w:val="16"/>
          <w:highlight w:val="yellow"/>
          <w:u w:val="single"/>
          <w:lang w:val="pt-PT"/>
        </w:rPr>
      </w:pPr>
      <w:r w:rsidRPr="00B54A43">
        <w:rPr>
          <w:rStyle w:val="Refdenotaderodap"/>
          <w:sz w:val="16"/>
          <w:szCs w:val="16"/>
        </w:rPr>
        <w:footnoteRef/>
      </w:r>
      <w:r w:rsidRPr="00B54A43">
        <w:rPr>
          <w:sz w:val="16"/>
          <w:szCs w:val="16"/>
        </w:rPr>
        <w:t xml:space="preserve"> </w:t>
      </w:r>
      <w:r w:rsidRPr="00B54A43">
        <w:rPr>
          <w:sz w:val="16"/>
          <w:szCs w:val="16"/>
          <w:lang w:val="pt-PT"/>
        </w:rPr>
        <w:t xml:space="preserve"> O prazo para contratos celebrados com vigência inical de até </w:t>
      </w:r>
      <w:r w:rsidR="00AA5FFF" w:rsidRPr="00B54A43">
        <w:rPr>
          <w:sz w:val="16"/>
          <w:szCs w:val="16"/>
          <w:lang w:val="pt-PT"/>
        </w:rPr>
        <w:t>5</w:t>
      </w:r>
      <w:r w:rsidRPr="00B54A43">
        <w:rPr>
          <w:sz w:val="16"/>
          <w:szCs w:val="16"/>
          <w:lang w:val="pt-PT"/>
        </w:rPr>
        <w:t xml:space="preserve"> anos, podendo ser prorrogados sucessivamente (não necessariamente por igual período) até a vigência máxima de 10 anos. </w:t>
      </w:r>
    </w:p>
  </w:footnote>
  <w:footnote w:id="3">
    <w:p w14:paraId="2F920521" w14:textId="4797CFBF" w:rsidR="00AA5FFF" w:rsidRPr="00B54A43" w:rsidRDefault="00AA5FFF" w:rsidP="00AC1ADD">
      <w:pPr>
        <w:pStyle w:val="Textodenotaderodap"/>
        <w:ind w:left="142" w:hanging="142"/>
      </w:pPr>
      <w:r w:rsidRPr="00B54A43">
        <w:rPr>
          <w:rStyle w:val="Refdenotaderodap"/>
          <w:sz w:val="16"/>
          <w:szCs w:val="16"/>
        </w:rPr>
        <w:footnoteRef/>
      </w:r>
      <w:r w:rsidRPr="00B54A43">
        <w:rPr>
          <w:sz w:val="16"/>
          <w:szCs w:val="16"/>
        </w:rPr>
        <w:t xml:space="preserve"> </w:t>
      </w:r>
      <w:r w:rsidRPr="00B54A43">
        <w:rPr>
          <w:sz w:val="16"/>
          <w:szCs w:val="16"/>
          <w:lang w:val="pt-PT"/>
        </w:rPr>
        <w:t>Considerar o desempenho do contratado na execução do objeto, registrado no histórico da fiscalização, e outros fatores que podem contribuir para a análise quanto à vantagem da continuidade do contrat</w:t>
      </w:r>
      <w:r w:rsidR="00210B33" w:rsidRPr="00B54A43">
        <w:rPr>
          <w:sz w:val="16"/>
          <w:szCs w:val="16"/>
          <w:lang w:val="pt-PT"/>
        </w:rPr>
        <w:t>ado no cumprimento de suas obrigações</w:t>
      </w:r>
      <w:r w:rsidRPr="00B54A43">
        <w:rPr>
          <w:sz w:val="16"/>
          <w:szCs w:val="16"/>
          <w:lang w:val="pt-PT"/>
        </w:rPr>
        <w:t>.</w:t>
      </w:r>
    </w:p>
  </w:footnote>
  <w:footnote w:id="4">
    <w:p w14:paraId="5FFE9FCA" w14:textId="51D6A628" w:rsidR="008A52CD" w:rsidRPr="00B54A43" w:rsidRDefault="008A52CD" w:rsidP="00AC1ADD">
      <w:pPr>
        <w:pStyle w:val="Textodenotaderodap"/>
        <w:ind w:left="142" w:hanging="142"/>
        <w:rPr>
          <w:sz w:val="16"/>
          <w:szCs w:val="16"/>
        </w:rPr>
      </w:pPr>
      <w:r w:rsidRPr="00B54A43">
        <w:rPr>
          <w:rStyle w:val="Refdenotaderodap"/>
          <w:sz w:val="16"/>
          <w:szCs w:val="16"/>
        </w:rPr>
        <w:footnoteRef/>
      </w:r>
      <w:r w:rsidRPr="00B54A43">
        <w:rPr>
          <w:sz w:val="16"/>
          <w:szCs w:val="16"/>
        </w:rPr>
        <w:t xml:space="preserve"> </w:t>
      </w:r>
      <w:r w:rsidRPr="00B54A43">
        <w:rPr>
          <w:sz w:val="16"/>
          <w:szCs w:val="16"/>
          <w:lang w:val="pt-PT"/>
        </w:rPr>
        <w:t>Portanto, é necessário que tanto o contratado quanto a Administração declarem expressamente seu interesse na prorrogação do contrato nas condições acordadas, e que o contratado seja alertado acerca dos efeitos de não solicitar a repactuação antes da prorrogação contratual.</w:t>
      </w:r>
    </w:p>
  </w:footnote>
  <w:footnote w:id="5">
    <w:p w14:paraId="1C9B9E51" w14:textId="7203E637" w:rsidR="00745228" w:rsidRPr="00B54A43" w:rsidRDefault="00745228" w:rsidP="00AC1ADD">
      <w:pPr>
        <w:pStyle w:val="Textodenotaderodap"/>
        <w:ind w:left="142" w:hanging="142"/>
        <w:rPr>
          <w:sz w:val="16"/>
          <w:szCs w:val="16"/>
        </w:rPr>
      </w:pPr>
      <w:r w:rsidRPr="00B54A43">
        <w:rPr>
          <w:rStyle w:val="Refdenotaderodap"/>
          <w:sz w:val="16"/>
          <w:szCs w:val="16"/>
        </w:rPr>
        <w:footnoteRef/>
      </w:r>
      <w:r w:rsidRPr="00B54A43">
        <w:rPr>
          <w:sz w:val="16"/>
          <w:szCs w:val="16"/>
        </w:rPr>
        <w:t xml:space="preserve"> </w:t>
      </w:r>
      <w:r w:rsidRPr="00B54A43">
        <w:rPr>
          <w:sz w:val="16"/>
          <w:szCs w:val="16"/>
          <w:lang w:val="pt-PT"/>
        </w:rPr>
        <w:t>Art. 75. É dispensável a licitação: […] 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w:t>
      </w:r>
      <w:r w:rsidRPr="002B32C5">
        <w:rPr>
          <w:rFonts w:asciiTheme="majorHAnsi" w:hAnsiTheme="majorHAnsi" w:cstheme="majorHAnsi"/>
          <w:sz w:val="16"/>
          <w:szCs w:val="16"/>
          <w:lang w:val="pt-PT"/>
        </w:rPr>
        <w:t xml:space="preserve"> </w:t>
      </w:r>
      <w:r w:rsidRPr="00B54A43">
        <w:rPr>
          <w:sz w:val="16"/>
          <w:szCs w:val="16"/>
          <w:lang w:val="pt-PT"/>
        </w:rPr>
        <w:t>ou calamitosa e para as parcelas de obras e serviços que possam ser concluídas no prazo máximo de 1 (um) ano, contado da data de ocorrência</w:t>
      </w:r>
      <w:r w:rsidRPr="002B32C5">
        <w:rPr>
          <w:rFonts w:asciiTheme="majorHAnsi" w:hAnsiTheme="majorHAnsi" w:cstheme="majorHAnsi"/>
          <w:sz w:val="16"/>
          <w:szCs w:val="16"/>
          <w:lang w:val="pt-PT"/>
        </w:rPr>
        <w:t xml:space="preserve"> </w:t>
      </w:r>
      <w:r w:rsidRPr="00B54A43">
        <w:rPr>
          <w:sz w:val="16"/>
          <w:szCs w:val="16"/>
          <w:lang w:val="pt-PT"/>
        </w:rPr>
        <w:t>da emergência ou da calamidade, vedadas a prorrogação dos respectivos contratos e a recontratação de empresa já contratada com base no disposto neste inciso; […] §6º Para os fins do inciso VIII do caput deste artigo, considera-se emergencial a contratação por dispensa com objetivo de manter a continuidade do serviço público, e deverão ser observados os valores praticados pelo mercado na forma do art. 23 desta Lei e adotadas as providências necessárias para a conclusão do processo licitatório, sem prejuízo de apuração de responsabilidade dos agentes públicos que deram causa à situação emergencial.</w:t>
      </w:r>
    </w:p>
  </w:footnote>
  <w:footnote w:id="6">
    <w:p w14:paraId="7F67CA62" w14:textId="451F07BA" w:rsidR="00A6596D" w:rsidRPr="00B54A43" w:rsidRDefault="00A6596D" w:rsidP="00AC1ADD">
      <w:pPr>
        <w:pStyle w:val="Textodenotaderodap"/>
        <w:ind w:left="142" w:hanging="142"/>
        <w:rPr>
          <w:sz w:val="16"/>
          <w:szCs w:val="16"/>
        </w:rPr>
      </w:pPr>
      <w:r w:rsidRPr="00B54A43">
        <w:rPr>
          <w:rStyle w:val="Refdenotaderodap"/>
          <w:sz w:val="16"/>
          <w:szCs w:val="16"/>
        </w:rPr>
        <w:footnoteRef/>
      </w:r>
      <w:r w:rsidRPr="00B54A43">
        <w:rPr>
          <w:sz w:val="16"/>
          <w:szCs w:val="16"/>
        </w:rPr>
        <w:t xml:space="preserve"> </w:t>
      </w:r>
      <w:r w:rsidRPr="00B54A43">
        <w:rPr>
          <w:sz w:val="16"/>
          <w:szCs w:val="16"/>
          <w:lang w:val="pt-PT"/>
        </w:rPr>
        <w:t>Os limites permitidos são de até 25% do valor inicial atualizado do contrato, para o caso de acréscimos ou de supressões em obras, serviços ou compras; e de até 50%, para o caso de acréscimos, na hipótese de reforma de edifício ou de equipamentos</w:t>
      </w:r>
    </w:p>
  </w:footnote>
  <w:footnote w:id="7">
    <w:p w14:paraId="6D08C1B7" w14:textId="7A8ACC1C" w:rsidR="00322366" w:rsidRPr="00B54A43" w:rsidRDefault="00322366" w:rsidP="00AC1ADD">
      <w:pPr>
        <w:pStyle w:val="Textodenotaderodap"/>
        <w:ind w:left="142" w:hanging="142"/>
        <w:rPr>
          <w:sz w:val="16"/>
          <w:szCs w:val="16"/>
          <w:lang w:val="pt-PT"/>
        </w:rPr>
      </w:pPr>
      <w:r w:rsidRPr="00B54A43">
        <w:rPr>
          <w:rStyle w:val="Refdenotaderodap"/>
          <w:sz w:val="16"/>
          <w:szCs w:val="16"/>
        </w:rPr>
        <w:footnoteRef/>
      </w:r>
      <w:r w:rsidRPr="00B54A43">
        <w:rPr>
          <w:sz w:val="16"/>
          <w:szCs w:val="16"/>
        </w:rPr>
        <w:t xml:space="preserve"> </w:t>
      </w:r>
      <w:r w:rsidRPr="00B54A43">
        <w:rPr>
          <w:sz w:val="16"/>
          <w:szCs w:val="16"/>
          <w:lang w:val="pt-PT"/>
        </w:rPr>
        <w:t xml:space="preserve">"É irregular a aceitação de cartas de fiança fidejussória, de natureza não bancária, como garantia de contrato administrativo, uma vez que não correspondem ao instrumento de fiança bancária, emitida por banco ou instituição financeira autorizada a operar pelo Banco Central do Brasil." (Acórdão TCU n. 597/2023, Plenário) </w:t>
      </w:r>
    </w:p>
  </w:footnote>
  <w:footnote w:id="8">
    <w:p w14:paraId="5517C74F" w14:textId="77777777" w:rsidR="005C43E6" w:rsidRPr="00B54A43" w:rsidRDefault="005C43E6" w:rsidP="005C43E6">
      <w:pPr>
        <w:pStyle w:val="footnotedescription"/>
        <w:widowControl w:val="0"/>
        <w:spacing w:after="54" w:line="252" w:lineRule="auto"/>
        <w:ind w:left="142" w:hanging="142"/>
        <w:rPr>
          <w:rFonts w:ascii="Times New Roman" w:hAnsi="Times New Roman" w:cs="Times New Roman"/>
          <w:szCs w:val="16"/>
        </w:rPr>
      </w:pPr>
      <w:r w:rsidRPr="00B54A43">
        <w:rPr>
          <w:rStyle w:val="FootnoteCharacters"/>
          <w:rFonts w:ascii="Times New Roman" w:hAnsi="Times New Roman" w:cs="Times New Roman"/>
          <w:szCs w:val="16"/>
        </w:rPr>
        <w:footnoteRef/>
      </w:r>
      <w:r w:rsidRPr="00B54A43">
        <w:rPr>
          <w:rFonts w:ascii="Times New Roman" w:hAnsi="Times New Roman" w:cs="Times New Roman"/>
          <w:szCs w:val="16"/>
        </w:rPr>
        <w:tab/>
        <w:t xml:space="preserve"> É vedada a antecipação do pagamento, com relação ao cronograma financeiro fixado, sem a correspondente contraprestação de fornecimento de bens ou execução de obra ou serviço.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4FBD" w14:textId="77777777" w:rsidR="007425C9" w:rsidRDefault="007425C9">
    <w:pPr>
      <w:pBdr>
        <w:top w:val="nil"/>
        <w:left w:val="nil"/>
        <w:bottom w:val="nil"/>
        <w:right w:val="nil"/>
        <w:between w:val="nil"/>
      </w:pBdr>
      <w:spacing w:line="276" w:lineRule="auto"/>
    </w:pPr>
  </w:p>
  <w:p w14:paraId="2AFE4A1D" w14:textId="6968208F" w:rsidR="007425C9" w:rsidRDefault="004E2EFF">
    <w:pPr>
      <w:pBdr>
        <w:top w:val="nil"/>
        <w:left w:val="nil"/>
        <w:bottom w:val="nil"/>
        <w:right w:val="nil"/>
        <w:between w:val="nil"/>
      </w:pBdr>
      <w:rPr>
        <w:color w:val="000000"/>
        <w:sz w:val="20"/>
        <w:szCs w:val="20"/>
      </w:rPr>
    </w:pPr>
    <w:r>
      <w:rPr>
        <w:b/>
        <w:bCs/>
        <w:noProof/>
        <w:color w:val="44546A"/>
        <w:sz w:val="13"/>
        <w:szCs w:val="13"/>
      </w:rPr>
      <w:drawing>
        <wp:inline distT="0" distB="0" distL="114300" distR="114300" wp14:anchorId="5AB5F08E" wp14:editId="37BBBCE0">
          <wp:extent cx="5528310" cy="1173171"/>
          <wp:effectExtent l="0" t="0" r="0" b="8255"/>
          <wp:docPr id="1" name="Imagem 1" descr="TIMBRADO_CGE1.pdf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IMBRADO_CGE1.pdf__1_-removebg-preview"/>
                  <pic:cNvPicPr>
                    <a:picLocks noChangeAspect="1"/>
                  </pic:cNvPicPr>
                </pic:nvPicPr>
                <pic:blipFill>
                  <a:blip r:embed="rId1"/>
                  <a:stretch>
                    <a:fillRect/>
                  </a:stretch>
                </pic:blipFill>
                <pic:spPr>
                  <a:xfrm>
                    <a:off x="0" y="0"/>
                    <a:ext cx="5528310" cy="1173171"/>
                  </a:xfrm>
                  <a:prstGeom prst="rect">
                    <a:avLst/>
                  </a:prstGeom>
                </pic:spPr>
              </pic:pic>
            </a:graphicData>
          </a:graphic>
        </wp:inline>
      </w:drawing>
    </w:r>
    <w:r w:rsidR="005C43E6">
      <w:rPr>
        <w:noProof/>
        <w:color w:val="000000"/>
        <w:sz w:val="24"/>
        <w:szCs w:val="24"/>
      </w:rPr>
      <mc:AlternateContent>
        <mc:Choice Requires="wps">
          <w:drawing>
            <wp:anchor distT="0" distB="0" distL="114300" distR="114300" simplePos="0" relativeHeight="251657216" behindDoc="1" locked="0" layoutInCell="0" allowOverlap="1" wp14:anchorId="628009AE" wp14:editId="5446C459">
              <wp:simplePos x="0" y="0"/>
              <wp:positionH relativeFrom="page">
                <wp:posOffset>-278714835</wp:posOffset>
              </wp:positionH>
              <wp:positionV relativeFrom="page">
                <wp:posOffset>-117504210</wp:posOffset>
              </wp:positionV>
              <wp:extent cx="8752840" cy="11532235"/>
              <wp:effectExtent l="0" t="0" r="4445" b="0"/>
              <wp:wrapNone/>
              <wp:docPr id="531020310"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2840" cy="1153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82DBD" id="Retângulo 2" o:spid="_x0000_s1026" style="position:absolute;margin-left:-21946.05pt;margin-top:-9252.3pt;width:689.2pt;height:90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" o:allowincell="f" filled="f"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79A"/>
    <w:multiLevelType w:val="hybridMultilevel"/>
    <w:tmpl w:val="2F148932"/>
    <w:lvl w:ilvl="0" w:tplc="04160017">
      <w:start w:val="1"/>
      <w:numFmt w:val="lowerLetter"/>
      <w:lvlText w:val="%1)"/>
      <w:lvlJc w:val="left"/>
      <w:pPr>
        <w:ind w:left="1091" w:hanging="360"/>
      </w:pPr>
    </w:lvl>
    <w:lvl w:ilvl="1" w:tplc="04160019" w:tentative="1">
      <w:start w:val="1"/>
      <w:numFmt w:val="lowerLetter"/>
      <w:lvlText w:val="%2."/>
      <w:lvlJc w:val="left"/>
      <w:pPr>
        <w:ind w:left="1811" w:hanging="360"/>
      </w:pPr>
    </w:lvl>
    <w:lvl w:ilvl="2" w:tplc="0416001B" w:tentative="1">
      <w:start w:val="1"/>
      <w:numFmt w:val="lowerRoman"/>
      <w:lvlText w:val="%3."/>
      <w:lvlJc w:val="right"/>
      <w:pPr>
        <w:ind w:left="2531" w:hanging="180"/>
      </w:pPr>
    </w:lvl>
    <w:lvl w:ilvl="3" w:tplc="0416000F" w:tentative="1">
      <w:start w:val="1"/>
      <w:numFmt w:val="decimal"/>
      <w:lvlText w:val="%4."/>
      <w:lvlJc w:val="left"/>
      <w:pPr>
        <w:ind w:left="3251" w:hanging="360"/>
      </w:pPr>
    </w:lvl>
    <w:lvl w:ilvl="4" w:tplc="04160019" w:tentative="1">
      <w:start w:val="1"/>
      <w:numFmt w:val="lowerLetter"/>
      <w:lvlText w:val="%5."/>
      <w:lvlJc w:val="left"/>
      <w:pPr>
        <w:ind w:left="3971" w:hanging="360"/>
      </w:pPr>
    </w:lvl>
    <w:lvl w:ilvl="5" w:tplc="0416001B" w:tentative="1">
      <w:start w:val="1"/>
      <w:numFmt w:val="lowerRoman"/>
      <w:lvlText w:val="%6."/>
      <w:lvlJc w:val="right"/>
      <w:pPr>
        <w:ind w:left="4691" w:hanging="180"/>
      </w:pPr>
    </w:lvl>
    <w:lvl w:ilvl="6" w:tplc="0416000F" w:tentative="1">
      <w:start w:val="1"/>
      <w:numFmt w:val="decimal"/>
      <w:lvlText w:val="%7."/>
      <w:lvlJc w:val="left"/>
      <w:pPr>
        <w:ind w:left="5411" w:hanging="360"/>
      </w:pPr>
    </w:lvl>
    <w:lvl w:ilvl="7" w:tplc="04160019" w:tentative="1">
      <w:start w:val="1"/>
      <w:numFmt w:val="lowerLetter"/>
      <w:lvlText w:val="%8."/>
      <w:lvlJc w:val="left"/>
      <w:pPr>
        <w:ind w:left="6131" w:hanging="360"/>
      </w:pPr>
    </w:lvl>
    <w:lvl w:ilvl="8" w:tplc="0416001B" w:tentative="1">
      <w:start w:val="1"/>
      <w:numFmt w:val="lowerRoman"/>
      <w:lvlText w:val="%9."/>
      <w:lvlJc w:val="right"/>
      <w:pPr>
        <w:ind w:left="6851" w:hanging="180"/>
      </w:pPr>
    </w:lvl>
  </w:abstractNum>
  <w:abstractNum w:abstractNumId="1" w15:restartNumberingAfterBreak="0">
    <w:nsid w:val="122A10C5"/>
    <w:multiLevelType w:val="hybridMultilevel"/>
    <w:tmpl w:val="F778838E"/>
    <w:lvl w:ilvl="0" w:tplc="228485B2">
      <w:start w:val="1"/>
      <w:numFmt w:val="lowerLetter"/>
      <w:lvlText w:val="%1)"/>
      <w:lvlJc w:val="left"/>
      <w:pPr>
        <w:ind w:left="1354" w:hanging="360"/>
      </w:pPr>
      <w:rPr>
        <w:b/>
        <w:bCs/>
        <w:strike w:val="0"/>
      </w:rPr>
    </w:lvl>
    <w:lvl w:ilvl="1" w:tplc="04160019" w:tentative="1">
      <w:start w:val="1"/>
      <w:numFmt w:val="lowerLetter"/>
      <w:lvlText w:val="%2."/>
      <w:lvlJc w:val="left"/>
      <w:pPr>
        <w:ind w:left="2074" w:hanging="360"/>
      </w:pPr>
    </w:lvl>
    <w:lvl w:ilvl="2" w:tplc="0416001B" w:tentative="1">
      <w:start w:val="1"/>
      <w:numFmt w:val="lowerRoman"/>
      <w:lvlText w:val="%3."/>
      <w:lvlJc w:val="right"/>
      <w:pPr>
        <w:ind w:left="2794" w:hanging="180"/>
      </w:pPr>
    </w:lvl>
    <w:lvl w:ilvl="3" w:tplc="0416000F" w:tentative="1">
      <w:start w:val="1"/>
      <w:numFmt w:val="decimal"/>
      <w:lvlText w:val="%4."/>
      <w:lvlJc w:val="left"/>
      <w:pPr>
        <w:ind w:left="3514" w:hanging="360"/>
      </w:pPr>
    </w:lvl>
    <w:lvl w:ilvl="4" w:tplc="04160019" w:tentative="1">
      <w:start w:val="1"/>
      <w:numFmt w:val="lowerLetter"/>
      <w:lvlText w:val="%5."/>
      <w:lvlJc w:val="left"/>
      <w:pPr>
        <w:ind w:left="4234" w:hanging="360"/>
      </w:pPr>
    </w:lvl>
    <w:lvl w:ilvl="5" w:tplc="0416001B" w:tentative="1">
      <w:start w:val="1"/>
      <w:numFmt w:val="lowerRoman"/>
      <w:lvlText w:val="%6."/>
      <w:lvlJc w:val="right"/>
      <w:pPr>
        <w:ind w:left="4954" w:hanging="180"/>
      </w:pPr>
    </w:lvl>
    <w:lvl w:ilvl="6" w:tplc="0416000F" w:tentative="1">
      <w:start w:val="1"/>
      <w:numFmt w:val="decimal"/>
      <w:lvlText w:val="%7."/>
      <w:lvlJc w:val="left"/>
      <w:pPr>
        <w:ind w:left="5674" w:hanging="360"/>
      </w:pPr>
    </w:lvl>
    <w:lvl w:ilvl="7" w:tplc="04160019" w:tentative="1">
      <w:start w:val="1"/>
      <w:numFmt w:val="lowerLetter"/>
      <w:lvlText w:val="%8."/>
      <w:lvlJc w:val="left"/>
      <w:pPr>
        <w:ind w:left="6394" w:hanging="360"/>
      </w:pPr>
    </w:lvl>
    <w:lvl w:ilvl="8" w:tplc="0416001B" w:tentative="1">
      <w:start w:val="1"/>
      <w:numFmt w:val="lowerRoman"/>
      <w:lvlText w:val="%9."/>
      <w:lvlJc w:val="right"/>
      <w:pPr>
        <w:ind w:left="7114" w:hanging="180"/>
      </w:pPr>
    </w:lvl>
  </w:abstractNum>
  <w:abstractNum w:abstractNumId="2" w15:restartNumberingAfterBreak="0">
    <w:nsid w:val="14C75C01"/>
    <w:multiLevelType w:val="hybridMultilevel"/>
    <w:tmpl w:val="4C54C5A8"/>
    <w:lvl w:ilvl="0" w:tplc="51DE0E30">
      <w:start w:val="3"/>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2022CC"/>
    <w:multiLevelType w:val="multilevel"/>
    <w:tmpl w:val="B48835B2"/>
    <w:lvl w:ilvl="0">
      <w:start w:val="5"/>
      <w:numFmt w:val="decimal"/>
      <w:lvlText w:val="%1."/>
      <w:lvlJc w:val="left"/>
      <w:pPr>
        <w:tabs>
          <w:tab w:val="num" w:pos="0"/>
        </w:tabs>
        <w:ind w:left="360" w:hanging="360"/>
      </w:pPr>
      <w:rPr>
        <w:b/>
        <w:strike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28562431"/>
    <w:multiLevelType w:val="multilevel"/>
    <w:tmpl w:val="8D5686A2"/>
    <w:lvl w:ilvl="0">
      <w:start w:val="1"/>
      <w:numFmt w:val="lowerLetter"/>
      <w:lvlText w:val="%1)"/>
      <w:lvlJc w:val="left"/>
      <w:pPr>
        <w:tabs>
          <w:tab w:val="num" w:pos="720"/>
        </w:tabs>
        <w:ind w:left="720" w:hanging="360"/>
      </w:pPr>
      <w:rPr>
        <w:b/>
        <w:strike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EA412E3"/>
    <w:multiLevelType w:val="multilevel"/>
    <w:tmpl w:val="3318AE8A"/>
    <w:lvl w:ilvl="0">
      <w:start w:val="1"/>
      <w:numFmt w:val="lowerLetter"/>
      <w:lvlText w:val="%1)"/>
      <w:lvlJc w:val="left"/>
      <w:pPr>
        <w:tabs>
          <w:tab w:val="num" w:pos="-361"/>
        </w:tabs>
        <w:ind w:left="360" w:hanging="360"/>
      </w:pPr>
      <w:rPr>
        <w:b/>
        <w:color w:val="auto"/>
      </w:rPr>
    </w:lvl>
    <w:lvl w:ilvl="1">
      <w:start w:val="1"/>
      <w:numFmt w:val="decimal"/>
      <w:lvlText w:val="%2."/>
      <w:lvlJc w:val="left"/>
      <w:pPr>
        <w:tabs>
          <w:tab w:val="num" w:pos="719"/>
        </w:tabs>
        <w:ind w:left="719" w:hanging="360"/>
      </w:pPr>
    </w:lvl>
    <w:lvl w:ilvl="2">
      <w:start w:val="1"/>
      <w:numFmt w:val="decimal"/>
      <w:lvlText w:val="%3."/>
      <w:lvlJc w:val="left"/>
      <w:pPr>
        <w:tabs>
          <w:tab w:val="num" w:pos="1079"/>
        </w:tabs>
        <w:ind w:left="1079" w:hanging="360"/>
      </w:pPr>
    </w:lvl>
    <w:lvl w:ilvl="3">
      <w:start w:val="1"/>
      <w:numFmt w:val="decimal"/>
      <w:lvlText w:val="%4."/>
      <w:lvlJc w:val="left"/>
      <w:pPr>
        <w:tabs>
          <w:tab w:val="num" w:pos="1439"/>
        </w:tabs>
        <w:ind w:left="1439" w:hanging="360"/>
      </w:pPr>
    </w:lvl>
    <w:lvl w:ilvl="4">
      <w:start w:val="1"/>
      <w:numFmt w:val="decimal"/>
      <w:lvlText w:val="%5."/>
      <w:lvlJc w:val="left"/>
      <w:pPr>
        <w:tabs>
          <w:tab w:val="num" w:pos="1799"/>
        </w:tabs>
        <w:ind w:left="1799" w:hanging="360"/>
      </w:pPr>
    </w:lvl>
    <w:lvl w:ilvl="5">
      <w:start w:val="1"/>
      <w:numFmt w:val="decimal"/>
      <w:lvlText w:val="%6."/>
      <w:lvlJc w:val="left"/>
      <w:pPr>
        <w:tabs>
          <w:tab w:val="num" w:pos="2159"/>
        </w:tabs>
        <w:ind w:left="2159" w:hanging="360"/>
      </w:pPr>
    </w:lvl>
    <w:lvl w:ilvl="6">
      <w:start w:val="1"/>
      <w:numFmt w:val="decimal"/>
      <w:lvlText w:val="%7."/>
      <w:lvlJc w:val="left"/>
      <w:pPr>
        <w:tabs>
          <w:tab w:val="num" w:pos="2519"/>
        </w:tabs>
        <w:ind w:left="2519" w:hanging="360"/>
      </w:pPr>
    </w:lvl>
    <w:lvl w:ilvl="7">
      <w:start w:val="1"/>
      <w:numFmt w:val="decimal"/>
      <w:lvlText w:val="%8."/>
      <w:lvlJc w:val="left"/>
      <w:pPr>
        <w:tabs>
          <w:tab w:val="num" w:pos="2879"/>
        </w:tabs>
        <w:ind w:left="2879" w:hanging="360"/>
      </w:pPr>
    </w:lvl>
    <w:lvl w:ilvl="8">
      <w:start w:val="1"/>
      <w:numFmt w:val="decimal"/>
      <w:lvlText w:val="%9."/>
      <w:lvlJc w:val="left"/>
      <w:pPr>
        <w:tabs>
          <w:tab w:val="num" w:pos="3239"/>
        </w:tabs>
        <w:ind w:left="3239" w:hanging="360"/>
      </w:pPr>
    </w:lvl>
  </w:abstractNum>
  <w:abstractNum w:abstractNumId="6" w15:restartNumberingAfterBreak="0">
    <w:nsid w:val="3CB659C7"/>
    <w:multiLevelType w:val="multilevel"/>
    <w:tmpl w:val="D8A86008"/>
    <w:lvl w:ilvl="0">
      <w:start w:val="1"/>
      <w:numFmt w:val="lowerLetter"/>
      <w:lvlText w:val="%1)"/>
      <w:lvlJc w:val="left"/>
      <w:pPr>
        <w:tabs>
          <w:tab w:val="num" w:pos="0"/>
        </w:tabs>
        <w:ind w:left="891"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F2E09AC"/>
    <w:multiLevelType w:val="multilevel"/>
    <w:tmpl w:val="35C2D9EA"/>
    <w:lvl w:ilvl="0">
      <w:start w:val="1"/>
      <w:numFmt w:val="decimal"/>
      <w:lvlText w:val="%1."/>
      <w:lvlJc w:val="left"/>
      <w:pPr>
        <w:tabs>
          <w:tab w:val="num" w:pos="928"/>
        </w:tabs>
        <w:ind w:left="928"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207426B"/>
    <w:multiLevelType w:val="multilevel"/>
    <w:tmpl w:val="17FA3D28"/>
    <w:lvl w:ilvl="0">
      <w:start w:val="12"/>
      <w:numFmt w:val="decimal"/>
      <w:lvlText w:val="%1."/>
      <w:lvlJc w:val="left"/>
      <w:pPr>
        <w:tabs>
          <w:tab w:val="num" w:pos="928"/>
        </w:tabs>
        <w:ind w:left="928" w:hanging="360"/>
      </w:pPr>
      <w:rPr>
        <w:rFonts w:hint="default"/>
        <w:b/>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15:restartNumberingAfterBreak="0">
    <w:nsid w:val="5C7E1075"/>
    <w:multiLevelType w:val="multilevel"/>
    <w:tmpl w:val="3318AE8A"/>
    <w:lvl w:ilvl="0">
      <w:start w:val="1"/>
      <w:numFmt w:val="lowerLetter"/>
      <w:lvlText w:val="%1)"/>
      <w:lvlJc w:val="left"/>
      <w:pPr>
        <w:tabs>
          <w:tab w:val="num" w:pos="-361"/>
        </w:tabs>
        <w:ind w:left="360" w:hanging="360"/>
      </w:pPr>
      <w:rPr>
        <w:b/>
        <w:color w:val="auto"/>
      </w:rPr>
    </w:lvl>
    <w:lvl w:ilvl="1">
      <w:start w:val="1"/>
      <w:numFmt w:val="decimal"/>
      <w:lvlText w:val="%2."/>
      <w:lvlJc w:val="left"/>
      <w:pPr>
        <w:tabs>
          <w:tab w:val="num" w:pos="719"/>
        </w:tabs>
        <w:ind w:left="719" w:hanging="360"/>
      </w:pPr>
    </w:lvl>
    <w:lvl w:ilvl="2">
      <w:start w:val="1"/>
      <w:numFmt w:val="decimal"/>
      <w:lvlText w:val="%3."/>
      <w:lvlJc w:val="left"/>
      <w:pPr>
        <w:tabs>
          <w:tab w:val="num" w:pos="1079"/>
        </w:tabs>
        <w:ind w:left="1079" w:hanging="360"/>
      </w:pPr>
    </w:lvl>
    <w:lvl w:ilvl="3">
      <w:start w:val="1"/>
      <w:numFmt w:val="decimal"/>
      <w:lvlText w:val="%4."/>
      <w:lvlJc w:val="left"/>
      <w:pPr>
        <w:tabs>
          <w:tab w:val="num" w:pos="1439"/>
        </w:tabs>
        <w:ind w:left="1439" w:hanging="360"/>
      </w:pPr>
    </w:lvl>
    <w:lvl w:ilvl="4">
      <w:start w:val="1"/>
      <w:numFmt w:val="decimal"/>
      <w:lvlText w:val="%5."/>
      <w:lvlJc w:val="left"/>
      <w:pPr>
        <w:tabs>
          <w:tab w:val="num" w:pos="1799"/>
        </w:tabs>
        <w:ind w:left="1799" w:hanging="360"/>
      </w:pPr>
    </w:lvl>
    <w:lvl w:ilvl="5">
      <w:start w:val="1"/>
      <w:numFmt w:val="decimal"/>
      <w:lvlText w:val="%6."/>
      <w:lvlJc w:val="left"/>
      <w:pPr>
        <w:tabs>
          <w:tab w:val="num" w:pos="2159"/>
        </w:tabs>
        <w:ind w:left="2159" w:hanging="360"/>
      </w:pPr>
    </w:lvl>
    <w:lvl w:ilvl="6">
      <w:start w:val="1"/>
      <w:numFmt w:val="decimal"/>
      <w:lvlText w:val="%7."/>
      <w:lvlJc w:val="left"/>
      <w:pPr>
        <w:tabs>
          <w:tab w:val="num" w:pos="2519"/>
        </w:tabs>
        <w:ind w:left="2519" w:hanging="360"/>
      </w:pPr>
    </w:lvl>
    <w:lvl w:ilvl="7">
      <w:start w:val="1"/>
      <w:numFmt w:val="decimal"/>
      <w:lvlText w:val="%8."/>
      <w:lvlJc w:val="left"/>
      <w:pPr>
        <w:tabs>
          <w:tab w:val="num" w:pos="2879"/>
        </w:tabs>
        <w:ind w:left="2879" w:hanging="360"/>
      </w:pPr>
    </w:lvl>
    <w:lvl w:ilvl="8">
      <w:start w:val="1"/>
      <w:numFmt w:val="decimal"/>
      <w:lvlText w:val="%9."/>
      <w:lvlJc w:val="left"/>
      <w:pPr>
        <w:tabs>
          <w:tab w:val="num" w:pos="3239"/>
        </w:tabs>
        <w:ind w:left="3239" w:hanging="360"/>
      </w:pPr>
    </w:lvl>
  </w:abstractNum>
  <w:abstractNum w:abstractNumId="10" w15:restartNumberingAfterBreak="0">
    <w:nsid w:val="5DF307D5"/>
    <w:multiLevelType w:val="multilevel"/>
    <w:tmpl w:val="9BDCE626"/>
    <w:lvl w:ilvl="0">
      <w:start w:val="9"/>
      <w:numFmt w:val="decimal"/>
      <w:lvlText w:val="%1."/>
      <w:lvlJc w:val="left"/>
      <w:pPr>
        <w:tabs>
          <w:tab w:val="num" w:pos="720"/>
        </w:tabs>
        <w:ind w:left="720" w:hanging="360"/>
      </w:pPr>
      <w:rPr>
        <w:b/>
        <w:strike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2CF76CA"/>
    <w:multiLevelType w:val="hybridMultilevel"/>
    <w:tmpl w:val="C8142F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FA321F6"/>
    <w:multiLevelType w:val="hybridMultilevel"/>
    <w:tmpl w:val="4456F680"/>
    <w:lvl w:ilvl="0" w:tplc="390613E4">
      <w:start w:val="1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4582148"/>
    <w:multiLevelType w:val="hybridMultilevel"/>
    <w:tmpl w:val="6FC2FE8E"/>
    <w:lvl w:ilvl="0" w:tplc="228485B2">
      <w:start w:val="1"/>
      <w:numFmt w:val="lowerLetter"/>
      <w:lvlText w:val="%1)"/>
      <w:lvlJc w:val="left"/>
      <w:pPr>
        <w:ind w:left="720" w:hanging="360"/>
      </w:pPr>
      <w:rPr>
        <w:b/>
        <w:bCs/>
        <w:strike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7743181D"/>
    <w:multiLevelType w:val="multilevel"/>
    <w:tmpl w:val="AEC8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443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1558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6133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092629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33440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75986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36676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7837188">
    <w:abstractNumId w:val="13"/>
  </w:num>
  <w:num w:numId="9" w16cid:durableId="761995195">
    <w:abstractNumId w:val="0"/>
  </w:num>
  <w:num w:numId="10" w16cid:durableId="2084717711">
    <w:abstractNumId w:val="11"/>
  </w:num>
  <w:num w:numId="11" w16cid:durableId="1471823339">
    <w:abstractNumId w:val="14"/>
  </w:num>
  <w:num w:numId="12" w16cid:durableId="1950895719">
    <w:abstractNumId w:val="1"/>
  </w:num>
  <w:num w:numId="13" w16cid:durableId="890768381">
    <w:abstractNumId w:val="5"/>
  </w:num>
  <w:num w:numId="14" w16cid:durableId="855118685">
    <w:abstractNumId w:val="2"/>
  </w:num>
  <w:num w:numId="15" w16cid:durableId="766119435">
    <w:abstractNumId w:val="12"/>
  </w:num>
  <w:num w:numId="16" w16cid:durableId="1034231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C9"/>
    <w:rsid w:val="000004F7"/>
    <w:rsid w:val="0001050C"/>
    <w:rsid w:val="00031F53"/>
    <w:rsid w:val="00032DF6"/>
    <w:rsid w:val="000411BC"/>
    <w:rsid w:val="00041C74"/>
    <w:rsid w:val="0004380E"/>
    <w:rsid w:val="0005288E"/>
    <w:rsid w:val="000671F0"/>
    <w:rsid w:val="00076A1A"/>
    <w:rsid w:val="00097CC2"/>
    <w:rsid w:val="000B4453"/>
    <w:rsid w:val="000B523F"/>
    <w:rsid w:val="000B5E30"/>
    <w:rsid w:val="000C2724"/>
    <w:rsid w:val="000D4380"/>
    <w:rsid w:val="000E7AFB"/>
    <w:rsid w:val="000E7CD7"/>
    <w:rsid w:val="001219B0"/>
    <w:rsid w:val="00125AFE"/>
    <w:rsid w:val="00127865"/>
    <w:rsid w:val="00152432"/>
    <w:rsid w:val="00157CAB"/>
    <w:rsid w:val="00162BD9"/>
    <w:rsid w:val="00180129"/>
    <w:rsid w:val="00184352"/>
    <w:rsid w:val="001B2F30"/>
    <w:rsid w:val="001D1E26"/>
    <w:rsid w:val="002025B9"/>
    <w:rsid w:val="0020603C"/>
    <w:rsid w:val="00210B33"/>
    <w:rsid w:val="002115CD"/>
    <w:rsid w:val="0022128B"/>
    <w:rsid w:val="00223CB6"/>
    <w:rsid w:val="00227C95"/>
    <w:rsid w:val="00240D52"/>
    <w:rsid w:val="00253A42"/>
    <w:rsid w:val="00290A0A"/>
    <w:rsid w:val="002A28BD"/>
    <w:rsid w:val="002B32C5"/>
    <w:rsid w:val="002C0922"/>
    <w:rsid w:val="002C348F"/>
    <w:rsid w:val="002D52B9"/>
    <w:rsid w:val="00305453"/>
    <w:rsid w:val="00315E69"/>
    <w:rsid w:val="0032063D"/>
    <w:rsid w:val="00322173"/>
    <w:rsid w:val="00322366"/>
    <w:rsid w:val="0032331D"/>
    <w:rsid w:val="003253AD"/>
    <w:rsid w:val="0033347D"/>
    <w:rsid w:val="00383351"/>
    <w:rsid w:val="0039549F"/>
    <w:rsid w:val="003B33AB"/>
    <w:rsid w:val="003C09D1"/>
    <w:rsid w:val="003C3676"/>
    <w:rsid w:val="003D1C8B"/>
    <w:rsid w:val="003E3226"/>
    <w:rsid w:val="003E43D8"/>
    <w:rsid w:val="003E7283"/>
    <w:rsid w:val="003F1055"/>
    <w:rsid w:val="003F4677"/>
    <w:rsid w:val="00406358"/>
    <w:rsid w:val="00457789"/>
    <w:rsid w:val="00462886"/>
    <w:rsid w:val="00471AEE"/>
    <w:rsid w:val="0048694E"/>
    <w:rsid w:val="00486E43"/>
    <w:rsid w:val="00495580"/>
    <w:rsid w:val="004A1E47"/>
    <w:rsid w:val="004A283E"/>
    <w:rsid w:val="004A5C43"/>
    <w:rsid w:val="004B21E0"/>
    <w:rsid w:val="004B40FC"/>
    <w:rsid w:val="004C2F35"/>
    <w:rsid w:val="004D4A0C"/>
    <w:rsid w:val="004E2EFF"/>
    <w:rsid w:val="004F29EB"/>
    <w:rsid w:val="00523572"/>
    <w:rsid w:val="0053614D"/>
    <w:rsid w:val="00543465"/>
    <w:rsid w:val="0055604C"/>
    <w:rsid w:val="00596DFA"/>
    <w:rsid w:val="005A4D03"/>
    <w:rsid w:val="005B2C54"/>
    <w:rsid w:val="005C41FD"/>
    <w:rsid w:val="005C43E6"/>
    <w:rsid w:val="005C75BE"/>
    <w:rsid w:val="005D1716"/>
    <w:rsid w:val="005D4ECF"/>
    <w:rsid w:val="00642FED"/>
    <w:rsid w:val="00662EC5"/>
    <w:rsid w:val="006637FC"/>
    <w:rsid w:val="00676880"/>
    <w:rsid w:val="006875E0"/>
    <w:rsid w:val="006A2D28"/>
    <w:rsid w:val="006B7A8B"/>
    <w:rsid w:val="006D0D56"/>
    <w:rsid w:val="006F765D"/>
    <w:rsid w:val="00705F03"/>
    <w:rsid w:val="007110AD"/>
    <w:rsid w:val="00715D2E"/>
    <w:rsid w:val="007201F4"/>
    <w:rsid w:val="007425C9"/>
    <w:rsid w:val="00745228"/>
    <w:rsid w:val="0076477F"/>
    <w:rsid w:val="007836F8"/>
    <w:rsid w:val="00784C15"/>
    <w:rsid w:val="007B09B2"/>
    <w:rsid w:val="007C7146"/>
    <w:rsid w:val="007E3E6C"/>
    <w:rsid w:val="007E6E5A"/>
    <w:rsid w:val="00815F07"/>
    <w:rsid w:val="00832192"/>
    <w:rsid w:val="00850A17"/>
    <w:rsid w:val="00867D6C"/>
    <w:rsid w:val="00870103"/>
    <w:rsid w:val="00875142"/>
    <w:rsid w:val="0087624B"/>
    <w:rsid w:val="0088205C"/>
    <w:rsid w:val="00891005"/>
    <w:rsid w:val="008928EE"/>
    <w:rsid w:val="00896026"/>
    <w:rsid w:val="008A1FF3"/>
    <w:rsid w:val="008A52CD"/>
    <w:rsid w:val="008C06CA"/>
    <w:rsid w:val="008C6EBE"/>
    <w:rsid w:val="008D2067"/>
    <w:rsid w:val="008E0927"/>
    <w:rsid w:val="008E43BE"/>
    <w:rsid w:val="008E5230"/>
    <w:rsid w:val="008F0115"/>
    <w:rsid w:val="008F10B7"/>
    <w:rsid w:val="008F3121"/>
    <w:rsid w:val="008F4647"/>
    <w:rsid w:val="00904948"/>
    <w:rsid w:val="00934481"/>
    <w:rsid w:val="009460A7"/>
    <w:rsid w:val="00946E00"/>
    <w:rsid w:val="00953EDA"/>
    <w:rsid w:val="00960ACB"/>
    <w:rsid w:val="0096738A"/>
    <w:rsid w:val="00973598"/>
    <w:rsid w:val="00974535"/>
    <w:rsid w:val="00980A03"/>
    <w:rsid w:val="009A60E3"/>
    <w:rsid w:val="009B351F"/>
    <w:rsid w:val="009B5F31"/>
    <w:rsid w:val="009B5FDA"/>
    <w:rsid w:val="009C0EE5"/>
    <w:rsid w:val="009C2920"/>
    <w:rsid w:val="009D3DEE"/>
    <w:rsid w:val="009D6232"/>
    <w:rsid w:val="009F7FAC"/>
    <w:rsid w:val="00A23814"/>
    <w:rsid w:val="00A2787B"/>
    <w:rsid w:val="00A35F76"/>
    <w:rsid w:val="00A6596D"/>
    <w:rsid w:val="00A7084A"/>
    <w:rsid w:val="00A70E75"/>
    <w:rsid w:val="00A76347"/>
    <w:rsid w:val="00A8056E"/>
    <w:rsid w:val="00A83405"/>
    <w:rsid w:val="00A85FB6"/>
    <w:rsid w:val="00A90822"/>
    <w:rsid w:val="00A95E62"/>
    <w:rsid w:val="00A97292"/>
    <w:rsid w:val="00AA50C7"/>
    <w:rsid w:val="00AA5FFF"/>
    <w:rsid w:val="00AB24C2"/>
    <w:rsid w:val="00AC1ADD"/>
    <w:rsid w:val="00AC22BA"/>
    <w:rsid w:val="00AC5E2D"/>
    <w:rsid w:val="00AD5539"/>
    <w:rsid w:val="00AE57F6"/>
    <w:rsid w:val="00AF50BB"/>
    <w:rsid w:val="00AF5BF4"/>
    <w:rsid w:val="00B07F16"/>
    <w:rsid w:val="00B256A6"/>
    <w:rsid w:val="00B473C3"/>
    <w:rsid w:val="00B50C4D"/>
    <w:rsid w:val="00B54A43"/>
    <w:rsid w:val="00B5522B"/>
    <w:rsid w:val="00B76B67"/>
    <w:rsid w:val="00B80301"/>
    <w:rsid w:val="00B82472"/>
    <w:rsid w:val="00B90663"/>
    <w:rsid w:val="00B942FF"/>
    <w:rsid w:val="00BC36CC"/>
    <w:rsid w:val="00BE493A"/>
    <w:rsid w:val="00BF0752"/>
    <w:rsid w:val="00BF7245"/>
    <w:rsid w:val="00C00382"/>
    <w:rsid w:val="00C07A8D"/>
    <w:rsid w:val="00C10F65"/>
    <w:rsid w:val="00C1185C"/>
    <w:rsid w:val="00C25B71"/>
    <w:rsid w:val="00C272B5"/>
    <w:rsid w:val="00C324C3"/>
    <w:rsid w:val="00C402A0"/>
    <w:rsid w:val="00C5053A"/>
    <w:rsid w:val="00C514E2"/>
    <w:rsid w:val="00C55CF5"/>
    <w:rsid w:val="00C67331"/>
    <w:rsid w:val="00C70729"/>
    <w:rsid w:val="00C80F7F"/>
    <w:rsid w:val="00C84BA5"/>
    <w:rsid w:val="00C86127"/>
    <w:rsid w:val="00C95D93"/>
    <w:rsid w:val="00CA3EB9"/>
    <w:rsid w:val="00CB1E5A"/>
    <w:rsid w:val="00CC1ECB"/>
    <w:rsid w:val="00CC33E7"/>
    <w:rsid w:val="00CC4471"/>
    <w:rsid w:val="00CD72BD"/>
    <w:rsid w:val="00CD7C69"/>
    <w:rsid w:val="00CE474B"/>
    <w:rsid w:val="00CF4720"/>
    <w:rsid w:val="00D0393E"/>
    <w:rsid w:val="00D07452"/>
    <w:rsid w:val="00D13D14"/>
    <w:rsid w:val="00D43887"/>
    <w:rsid w:val="00D44F87"/>
    <w:rsid w:val="00D50ABC"/>
    <w:rsid w:val="00D518E6"/>
    <w:rsid w:val="00D51B7F"/>
    <w:rsid w:val="00D52051"/>
    <w:rsid w:val="00D57B64"/>
    <w:rsid w:val="00D7703C"/>
    <w:rsid w:val="00D824A2"/>
    <w:rsid w:val="00D82592"/>
    <w:rsid w:val="00DB6E6F"/>
    <w:rsid w:val="00DC15A2"/>
    <w:rsid w:val="00DC5316"/>
    <w:rsid w:val="00DE7E96"/>
    <w:rsid w:val="00E058D3"/>
    <w:rsid w:val="00E23AD6"/>
    <w:rsid w:val="00E24B7F"/>
    <w:rsid w:val="00E34FA9"/>
    <w:rsid w:val="00E73757"/>
    <w:rsid w:val="00E902E7"/>
    <w:rsid w:val="00EA216A"/>
    <w:rsid w:val="00EA4B23"/>
    <w:rsid w:val="00ED4776"/>
    <w:rsid w:val="00ED496A"/>
    <w:rsid w:val="00EE75F7"/>
    <w:rsid w:val="00EF5D7A"/>
    <w:rsid w:val="00F058CC"/>
    <w:rsid w:val="00F13BAE"/>
    <w:rsid w:val="00F16261"/>
    <w:rsid w:val="00F3354F"/>
    <w:rsid w:val="00F34649"/>
    <w:rsid w:val="00F67EBE"/>
    <w:rsid w:val="00F85586"/>
    <w:rsid w:val="00F956B6"/>
    <w:rsid w:val="00FB15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41D0D"/>
  <w15:docId w15:val="{B2CBB17F-0103-44F1-A650-348AB6E9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C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Textodenotaderodap">
    <w:name w:val="footnote text"/>
    <w:basedOn w:val="Normal"/>
    <w:link w:val="TextodenotaderodapChar"/>
    <w:uiPriority w:val="99"/>
    <w:unhideWhenUsed/>
    <w:rsid w:val="005C43E6"/>
    <w:pPr>
      <w:widowControl/>
      <w:jc w:val="both"/>
    </w:pPr>
    <w:rPr>
      <w:sz w:val="20"/>
      <w:szCs w:val="20"/>
      <w:lang w:val="pt-BR"/>
    </w:rPr>
  </w:style>
  <w:style w:type="character" w:customStyle="1" w:styleId="TextodenotaderodapChar">
    <w:name w:val="Texto de nota de rodapé Char"/>
    <w:basedOn w:val="Fontepargpadro"/>
    <w:link w:val="Textodenotaderodap"/>
    <w:uiPriority w:val="99"/>
    <w:rsid w:val="005C43E6"/>
    <w:rPr>
      <w:sz w:val="20"/>
      <w:szCs w:val="20"/>
      <w:lang w:val="pt-BR"/>
    </w:rPr>
  </w:style>
  <w:style w:type="paragraph" w:customStyle="1" w:styleId="footnotedescription">
    <w:name w:val="footnote description"/>
    <w:next w:val="Normal"/>
    <w:qFormat/>
    <w:rsid w:val="005C43E6"/>
    <w:pPr>
      <w:widowControl/>
      <w:suppressAutoHyphens/>
      <w:spacing w:line="264" w:lineRule="auto"/>
      <w:ind w:left="141" w:hanging="141"/>
      <w:jc w:val="both"/>
    </w:pPr>
    <w:rPr>
      <w:rFonts w:ascii="Arial" w:eastAsia="Arial" w:hAnsi="Arial" w:cs="Arial"/>
      <w:color w:val="000000"/>
      <w:sz w:val="16"/>
      <w:lang w:val="pt-BR" w:eastAsia="zh-CN"/>
    </w:rPr>
  </w:style>
  <w:style w:type="character" w:customStyle="1" w:styleId="FootnoteCharacters">
    <w:name w:val="Footnote Characters"/>
    <w:uiPriority w:val="99"/>
    <w:qFormat/>
    <w:rsid w:val="005C43E6"/>
    <w:rPr>
      <w:vertAlign w:val="superscript"/>
    </w:rPr>
  </w:style>
  <w:style w:type="character" w:styleId="Hyperlink">
    <w:name w:val="Hyperlink"/>
    <w:basedOn w:val="Fontepargpadro"/>
    <w:uiPriority w:val="99"/>
    <w:unhideWhenUsed/>
    <w:rsid w:val="00AB24C2"/>
    <w:rPr>
      <w:color w:val="0000FF" w:themeColor="hyperlink"/>
      <w:u w:val="single"/>
    </w:rPr>
  </w:style>
  <w:style w:type="character" w:styleId="MenoPendente">
    <w:name w:val="Unresolved Mention"/>
    <w:basedOn w:val="Fontepargpadro"/>
    <w:uiPriority w:val="99"/>
    <w:semiHidden/>
    <w:unhideWhenUsed/>
    <w:rsid w:val="00AB24C2"/>
    <w:rPr>
      <w:color w:val="605E5C"/>
      <w:shd w:val="clear" w:color="auto" w:fill="E1DFDD"/>
    </w:rPr>
  </w:style>
  <w:style w:type="character" w:styleId="Refdenotaderodap">
    <w:name w:val="footnote reference"/>
    <w:basedOn w:val="Fontepargpadro"/>
    <w:uiPriority w:val="99"/>
    <w:semiHidden/>
    <w:unhideWhenUsed/>
    <w:rsid w:val="00EE75F7"/>
    <w:rPr>
      <w:vertAlign w:val="superscript"/>
    </w:rPr>
  </w:style>
  <w:style w:type="paragraph" w:customStyle="1" w:styleId="Default">
    <w:name w:val="Default"/>
    <w:rsid w:val="00C67331"/>
    <w:pPr>
      <w:widowControl/>
      <w:autoSpaceDE w:val="0"/>
      <w:autoSpaceDN w:val="0"/>
      <w:adjustRightInd w:val="0"/>
    </w:pPr>
    <w:rPr>
      <w:rFonts w:ascii="Verdana" w:hAnsi="Verdana" w:cs="Verdana"/>
      <w:color w:val="000000"/>
      <w:sz w:val="24"/>
      <w:szCs w:val="24"/>
      <w:lang w:val="pt-BR"/>
    </w:rPr>
  </w:style>
  <w:style w:type="paragraph" w:styleId="PargrafodaLista">
    <w:name w:val="List Paragraph"/>
    <w:basedOn w:val="Normal"/>
    <w:uiPriority w:val="34"/>
    <w:qFormat/>
    <w:rsid w:val="00305453"/>
    <w:pPr>
      <w:ind w:left="720"/>
      <w:contextualSpacing/>
    </w:pPr>
  </w:style>
  <w:style w:type="paragraph" w:styleId="Cabealho">
    <w:name w:val="header"/>
    <w:basedOn w:val="Normal"/>
    <w:link w:val="CabealhoChar"/>
    <w:unhideWhenUsed/>
    <w:rsid w:val="00A8056E"/>
    <w:pPr>
      <w:tabs>
        <w:tab w:val="center" w:pos="4252"/>
        <w:tab w:val="right" w:pos="8504"/>
      </w:tabs>
    </w:pPr>
  </w:style>
  <w:style w:type="character" w:customStyle="1" w:styleId="CabealhoChar">
    <w:name w:val="Cabeçalho Char"/>
    <w:basedOn w:val="Fontepargpadro"/>
    <w:link w:val="Cabealho"/>
    <w:rsid w:val="00A8056E"/>
  </w:style>
  <w:style w:type="paragraph" w:styleId="Rodap">
    <w:name w:val="footer"/>
    <w:basedOn w:val="Normal"/>
    <w:link w:val="RodapChar"/>
    <w:uiPriority w:val="99"/>
    <w:unhideWhenUsed/>
    <w:rsid w:val="00A8056E"/>
    <w:pPr>
      <w:tabs>
        <w:tab w:val="center" w:pos="4252"/>
        <w:tab w:val="right" w:pos="8504"/>
      </w:tabs>
    </w:pPr>
  </w:style>
  <w:style w:type="character" w:customStyle="1" w:styleId="RodapChar">
    <w:name w:val="Rodapé Char"/>
    <w:basedOn w:val="Fontepargpadro"/>
    <w:link w:val="Rodap"/>
    <w:uiPriority w:val="99"/>
    <w:rsid w:val="00A8056E"/>
  </w:style>
  <w:style w:type="character" w:customStyle="1" w:styleId="Hyperlink1">
    <w:name w:val="Hyperlink1"/>
    <w:qFormat/>
    <w:rsid w:val="00A8056E"/>
    <w:rPr>
      <w:color w:val="0000FF"/>
      <w:u w:val="single"/>
    </w:rPr>
  </w:style>
  <w:style w:type="paragraph" w:styleId="NormalWeb">
    <w:name w:val="Normal (Web)"/>
    <w:basedOn w:val="Normal"/>
    <w:uiPriority w:val="99"/>
    <w:semiHidden/>
    <w:unhideWhenUsed/>
    <w:rsid w:val="0032331D"/>
    <w:rPr>
      <w:sz w:val="24"/>
      <w:szCs w:val="24"/>
    </w:rPr>
  </w:style>
  <w:style w:type="character" w:customStyle="1" w:styleId="oypena">
    <w:name w:val="oypena"/>
    <w:basedOn w:val="Fontepargpadro"/>
    <w:rsid w:val="006B7A8B"/>
  </w:style>
  <w:style w:type="paragraph" w:styleId="Textodenotadefim">
    <w:name w:val="endnote text"/>
    <w:basedOn w:val="Normal"/>
    <w:link w:val="TextodenotadefimChar"/>
    <w:uiPriority w:val="99"/>
    <w:semiHidden/>
    <w:unhideWhenUsed/>
    <w:rsid w:val="0022128B"/>
    <w:rPr>
      <w:sz w:val="20"/>
      <w:szCs w:val="20"/>
    </w:rPr>
  </w:style>
  <w:style w:type="character" w:customStyle="1" w:styleId="TextodenotadefimChar">
    <w:name w:val="Texto de nota de fim Char"/>
    <w:basedOn w:val="Fontepargpadro"/>
    <w:link w:val="Textodenotadefim"/>
    <w:uiPriority w:val="99"/>
    <w:semiHidden/>
    <w:rsid w:val="0022128B"/>
    <w:rPr>
      <w:sz w:val="20"/>
      <w:szCs w:val="20"/>
    </w:rPr>
  </w:style>
  <w:style w:type="character" w:styleId="Refdenotadefim">
    <w:name w:val="endnote reference"/>
    <w:basedOn w:val="Fontepargpadro"/>
    <w:uiPriority w:val="99"/>
    <w:semiHidden/>
    <w:unhideWhenUsed/>
    <w:rsid w:val="002212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760238">
      <w:bodyDiv w:val="1"/>
      <w:marLeft w:val="0"/>
      <w:marRight w:val="0"/>
      <w:marTop w:val="0"/>
      <w:marBottom w:val="0"/>
      <w:divBdr>
        <w:top w:val="none" w:sz="0" w:space="0" w:color="auto"/>
        <w:left w:val="none" w:sz="0" w:space="0" w:color="auto"/>
        <w:bottom w:val="none" w:sz="0" w:space="0" w:color="auto"/>
        <w:right w:val="none" w:sz="0" w:space="0" w:color="auto"/>
      </w:divBdr>
    </w:div>
    <w:div w:id="837622004">
      <w:bodyDiv w:val="1"/>
      <w:marLeft w:val="0"/>
      <w:marRight w:val="0"/>
      <w:marTop w:val="0"/>
      <w:marBottom w:val="0"/>
      <w:divBdr>
        <w:top w:val="none" w:sz="0" w:space="0" w:color="auto"/>
        <w:left w:val="none" w:sz="0" w:space="0" w:color="auto"/>
        <w:bottom w:val="none" w:sz="0" w:space="0" w:color="auto"/>
        <w:right w:val="none" w:sz="0" w:space="0" w:color="auto"/>
      </w:divBdr>
    </w:div>
    <w:div w:id="850755548">
      <w:bodyDiv w:val="1"/>
      <w:marLeft w:val="0"/>
      <w:marRight w:val="0"/>
      <w:marTop w:val="0"/>
      <w:marBottom w:val="0"/>
      <w:divBdr>
        <w:top w:val="none" w:sz="0" w:space="0" w:color="auto"/>
        <w:left w:val="none" w:sz="0" w:space="0" w:color="auto"/>
        <w:bottom w:val="none" w:sz="0" w:space="0" w:color="auto"/>
        <w:right w:val="none" w:sz="0" w:space="0" w:color="auto"/>
      </w:divBdr>
    </w:div>
    <w:div w:id="1051922599">
      <w:bodyDiv w:val="1"/>
      <w:marLeft w:val="0"/>
      <w:marRight w:val="0"/>
      <w:marTop w:val="0"/>
      <w:marBottom w:val="0"/>
      <w:divBdr>
        <w:top w:val="none" w:sz="0" w:space="0" w:color="auto"/>
        <w:left w:val="none" w:sz="0" w:space="0" w:color="auto"/>
        <w:bottom w:val="none" w:sz="0" w:space="0" w:color="auto"/>
        <w:right w:val="none" w:sz="0" w:space="0" w:color="auto"/>
      </w:divBdr>
    </w:div>
    <w:div w:id="1184053426">
      <w:bodyDiv w:val="1"/>
      <w:marLeft w:val="0"/>
      <w:marRight w:val="0"/>
      <w:marTop w:val="0"/>
      <w:marBottom w:val="0"/>
      <w:divBdr>
        <w:top w:val="none" w:sz="0" w:space="0" w:color="auto"/>
        <w:left w:val="none" w:sz="0" w:space="0" w:color="auto"/>
        <w:bottom w:val="none" w:sz="0" w:space="0" w:color="auto"/>
        <w:right w:val="none" w:sz="0" w:space="0" w:color="auto"/>
      </w:divBdr>
    </w:div>
    <w:div w:id="1260601399">
      <w:bodyDiv w:val="1"/>
      <w:marLeft w:val="0"/>
      <w:marRight w:val="0"/>
      <w:marTop w:val="0"/>
      <w:marBottom w:val="0"/>
      <w:divBdr>
        <w:top w:val="none" w:sz="0" w:space="0" w:color="auto"/>
        <w:left w:val="none" w:sz="0" w:space="0" w:color="auto"/>
        <w:bottom w:val="none" w:sz="0" w:space="0" w:color="auto"/>
        <w:right w:val="none" w:sz="0" w:space="0" w:color="auto"/>
      </w:divBdr>
    </w:div>
    <w:div w:id="1268538521">
      <w:bodyDiv w:val="1"/>
      <w:marLeft w:val="0"/>
      <w:marRight w:val="0"/>
      <w:marTop w:val="0"/>
      <w:marBottom w:val="0"/>
      <w:divBdr>
        <w:top w:val="none" w:sz="0" w:space="0" w:color="auto"/>
        <w:left w:val="none" w:sz="0" w:space="0" w:color="auto"/>
        <w:bottom w:val="none" w:sz="0" w:space="0" w:color="auto"/>
        <w:right w:val="none" w:sz="0" w:space="0" w:color="auto"/>
      </w:divBdr>
    </w:div>
    <w:div w:id="1316034487">
      <w:bodyDiv w:val="1"/>
      <w:marLeft w:val="0"/>
      <w:marRight w:val="0"/>
      <w:marTop w:val="0"/>
      <w:marBottom w:val="0"/>
      <w:divBdr>
        <w:top w:val="none" w:sz="0" w:space="0" w:color="auto"/>
        <w:left w:val="none" w:sz="0" w:space="0" w:color="auto"/>
        <w:bottom w:val="none" w:sz="0" w:space="0" w:color="auto"/>
        <w:right w:val="none" w:sz="0" w:space="0" w:color="auto"/>
      </w:divBdr>
    </w:div>
    <w:div w:id="1481920484">
      <w:bodyDiv w:val="1"/>
      <w:marLeft w:val="0"/>
      <w:marRight w:val="0"/>
      <w:marTop w:val="0"/>
      <w:marBottom w:val="0"/>
      <w:divBdr>
        <w:top w:val="none" w:sz="0" w:space="0" w:color="auto"/>
        <w:left w:val="none" w:sz="0" w:space="0" w:color="auto"/>
        <w:bottom w:val="none" w:sz="0" w:space="0" w:color="auto"/>
        <w:right w:val="none" w:sz="0" w:space="0" w:color="auto"/>
      </w:divBdr>
    </w:div>
    <w:div w:id="1772161519">
      <w:bodyDiv w:val="1"/>
      <w:marLeft w:val="0"/>
      <w:marRight w:val="0"/>
      <w:marTop w:val="0"/>
      <w:marBottom w:val="0"/>
      <w:divBdr>
        <w:top w:val="none" w:sz="0" w:space="0" w:color="auto"/>
        <w:left w:val="none" w:sz="0" w:space="0" w:color="auto"/>
        <w:bottom w:val="none" w:sz="0" w:space="0" w:color="auto"/>
        <w:right w:val="none" w:sz="0" w:space="0" w:color="auto"/>
      </w:divBdr>
    </w:div>
    <w:div w:id="1772621045">
      <w:bodyDiv w:val="1"/>
      <w:marLeft w:val="0"/>
      <w:marRight w:val="0"/>
      <w:marTop w:val="0"/>
      <w:marBottom w:val="0"/>
      <w:divBdr>
        <w:top w:val="none" w:sz="0" w:space="0" w:color="auto"/>
        <w:left w:val="none" w:sz="0" w:space="0" w:color="auto"/>
        <w:bottom w:val="none" w:sz="0" w:space="0" w:color="auto"/>
        <w:right w:val="none" w:sz="0" w:space="0" w:color="auto"/>
      </w:divBdr>
    </w:div>
    <w:div w:id="1805350267">
      <w:bodyDiv w:val="1"/>
      <w:marLeft w:val="0"/>
      <w:marRight w:val="0"/>
      <w:marTop w:val="0"/>
      <w:marBottom w:val="0"/>
      <w:divBdr>
        <w:top w:val="none" w:sz="0" w:space="0" w:color="auto"/>
        <w:left w:val="none" w:sz="0" w:space="0" w:color="auto"/>
        <w:bottom w:val="none" w:sz="0" w:space="0" w:color="auto"/>
        <w:right w:val="none" w:sz="0" w:space="0" w:color="auto"/>
      </w:divBdr>
    </w:div>
    <w:div w:id="1993488373">
      <w:bodyDiv w:val="1"/>
      <w:marLeft w:val="0"/>
      <w:marRight w:val="0"/>
      <w:marTop w:val="0"/>
      <w:marBottom w:val="0"/>
      <w:divBdr>
        <w:top w:val="none" w:sz="0" w:space="0" w:color="auto"/>
        <w:left w:val="none" w:sz="0" w:space="0" w:color="auto"/>
        <w:bottom w:val="none" w:sz="0" w:space="0" w:color="auto"/>
        <w:right w:val="none" w:sz="0" w:space="0" w:color="auto"/>
      </w:divBdr>
    </w:div>
    <w:div w:id="2035299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gov.br/cge/checklist-fundamentados-na-lei-1413321/13wo38t1f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4A157-50FB-4878-9BC2-D0E231AF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1516</Words>
  <Characters>8189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FELIX RIBEIRO</dc:creator>
  <cp:keywords/>
  <dc:description/>
  <cp:lastModifiedBy>Elaine Zanetti</cp:lastModifiedBy>
  <cp:revision>13</cp:revision>
  <dcterms:created xsi:type="dcterms:W3CDTF">2025-02-21T14:02:00Z</dcterms:created>
  <dcterms:modified xsi:type="dcterms:W3CDTF">2025-05-06T14:55:00Z</dcterms:modified>
</cp:coreProperties>
</file>