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ED827" w14:textId="77777777" w:rsidR="000D60E6" w:rsidRDefault="004507D6">
      <w:pPr>
        <w:spacing w:before="120" w:after="1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CHECKLIST</w:t>
      </w:r>
    </w:p>
    <w:p w14:paraId="2D570658" w14:textId="77777777" w:rsidR="000D60E6" w:rsidRDefault="000D60E6">
      <w:pPr>
        <w:spacing w:before="120" w:after="120"/>
        <w:jc w:val="center"/>
        <w:rPr>
          <w:rFonts w:ascii="Times New Roman" w:hAnsi="Times New Roman" w:cs="Times New Roman"/>
          <w:sz w:val="18"/>
          <w:szCs w:val="18"/>
        </w:rPr>
      </w:pPr>
    </w:p>
    <w:p w14:paraId="7E9B1DF4" w14:textId="77777777" w:rsidR="000D60E6" w:rsidRDefault="004507D6">
      <w:pPr>
        <w:spacing w:before="120" w:after="1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RECONHECIMENTO DE DÍVIDA </w:t>
      </w:r>
    </w:p>
    <w:p w14:paraId="1FD91E7E" w14:textId="77777777" w:rsidR="000D60E6" w:rsidRDefault="000D60E6">
      <w:pPr>
        <w:spacing w:before="120" w:after="120"/>
        <w:rPr>
          <w:rFonts w:ascii="Times New Roman" w:hAnsi="Times New Roman" w:cs="Times New Roman"/>
          <w:sz w:val="18"/>
          <w:szCs w:val="18"/>
          <w:u w:val="single"/>
        </w:rPr>
      </w:pPr>
    </w:p>
    <w:p w14:paraId="67737D32" w14:textId="77777777" w:rsidR="000D60E6" w:rsidRDefault="004507D6">
      <w:pPr>
        <w:spacing w:before="120"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Órgão/Entidade: _______________________________________________________________________________________</w:t>
      </w:r>
    </w:p>
    <w:p w14:paraId="5496D48F" w14:textId="77777777" w:rsidR="000D60E6" w:rsidRDefault="004507D6">
      <w:pPr>
        <w:spacing w:before="120"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Processo nº: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</w:p>
    <w:p w14:paraId="39655348" w14:textId="77777777" w:rsidR="000D60E6" w:rsidRDefault="000D60E6">
      <w:pPr>
        <w:spacing w:before="120" w:after="120"/>
        <w:rPr>
          <w:rFonts w:ascii="Times New Roman" w:hAnsi="Times New Roman" w:cs="Times New Roman"/>
          <w:sz w:val="18"/>
          <w:szCs w:val="18"/>
        </w:rPr>
      </w:pPr>
    </w:p>
    <w:p w14:paraId="7F38C91E" w14:textId="77777777" w:rsidR="000D60E6" w:rsidRDefault="004507D6">
      <w:pPr>
        <w:spacing w:before="120"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sz w:val="18"/>
          <w:szCs w:val="18"/>
        </w:rPr>
        <w:t xml:space="preserve"> Lei Federal nº 4.320/64, art. 37 </w:t>
      </w:r>
      <w:r>
        <w:rPr>
          <w:rFonts w:ascii="Times New Roman" w:hAnsi="Times New Roman" w:cs="Times New Roman"/>
          <w:sz w:val="18"/>
          <w:szCs w:val="18"/>
        </w:rPr>
        <w:t>- As despesas de exercícios encerrados, para as quais o orçamento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respectivo consignava crédito próprio, com saldo suficiente para atendê-las, que não se tenham processado na época própria, bem como os </w:t>
      </w:r>
      <w:r>
        <w:rPr>
          <w:rFonts w:ascii="Times New Roman" w:hAnsi="Times New Roman" w:cs="Times New Roman"/>
          <w:sz w:val="18"/>
          <w:szCs w:val="18"/>
          <w:u w:val="single"/>
        </w:rPr>
        <w:t>restos a pagar</w:t>
      </w:r>
      <w:r>
        <w:rPr>
          <w:rFonts w:ascii="Times New Roman" w:hAnsi="Times New Roman" w:cs="Times New Roman"/>
          <w:sz w:val="18"/>
          <w:szCs w:val="18"/>
        </w:rPr>
        <w:t xml:space="preserve"> com prescrição interrompida e os </w:t>
      </w:r>
      <w:r>
        <w:rPr>
          <w:rFonts w:ascii="Times New Roman" w:hAnsi="Times New Roman" w:cs="Times New Roman"/>
          <w:b/>
          <w:bCs/>
          <w:sz w:val="18"/>
          <w:szCs w:val="18"/>
        </w:rPr>
        <w:t>compromissos reconhecidos após o encerramento do exercício</w:t>
      </w:r>
      <w:r>
        <w:rPr>
          <w:rFonts w:ascii="Times New Roman" w:hAnsi="Times New Roman" w:cs="Times New Roman"/>
          <w:sz w:val="18"/>
          <w:szCs w:val="18"/>
        </w:rPr>
        <w:t xml:space="preserve"> correspondente poderão ser pagos </w:t>
      </w:r>
      <w:proofErr w:type="spellStart"/>
      <w:r>
        <w:rPr>
          <w:rFonts w:ascii="Times New Roman" w:hAnsi="Times New Roman" w:cs="Times New Roman"/>
          <w:sz w:val="18"/>
          <w:szCs w:val="18"/>
        </w:rPr>
        <w:t>á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conta de dotação específica consignada no orçamento, discriminada por elementos, obedecida, sempre que possível, a ordem cronológica.</w:t>
      </w:r>
    </w:p>
    <w:p w14:paraId="40888D8B" w14:textId="77777777" w:rsidR="000D60E6" w:rsidRDefault="000D60E6">
      <w:pPr>
        <w:spacing w:before="120" w:after="120"/>
        <w:rPr>
          <w:rFonts w:ascii="Times New Roman" w:hAnsi="Times New Roman" w:cs="Times New Roman"/>
          <w:sz w:val="18"/>
          <w:szCs w:val="18"/>
        </w:rPr>
      </w:pPr>
    </w:p>
    <w:p w14:paraId="51AADAE5" w14:textId="77777777" w:rsidR="000D60E6" w:rsidRDefault="004507D6">
      <w:pPr>
        <w:ind w:right="-1" w:hanging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Legenda: S = Sim; N = Não; NA = Não se Aplica.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03"/>
        <w:gridCol w:w="2309"/>
        <w:gridCol w:w="806"/>
        <w:gridCol w:w="787"/>
      </w:tblGrid>
      <w:tr w:rsidR="000D60E6" w14:paraId="1A9BE528" w14:textId="77777777" w:rsidTr="006B4E1C">
        <w:trPr>
          <w:trHeight w:val="273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29C7562" w14:textId="77777777" w:rsidR="000D60E6" w:rsidRDefault="004507D6">
            <w:pPr>
              <w:spacing w:line="276" w:lineRule="auto"/>
              <w:ind w:left="311" w:right="73" w:hanging="3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Exigência para Formalização de Procedimentos para Reconhecimento de Dívida do Exercício Anterior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6750038C" w14:textId="77777777" w:rsidR="000D60E6" w:rsidRDefault="004507D6">
            <w:pPr>
              <w:spacing w:line="36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Responsável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03A4EEA0" w14:textId="77777777" w:rsidR="000D60E6" w:rsidRDefault="004507D6">
            <w:pPr>
              <w:spacing w:line="36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S/N/NA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9631EA7" w14:textId="77777777" w:rsidR="000D60E6" w:rsidRDefault="004507D6">
            <w:pPr>
              <w:spacing w:line="360" w:lineRule="auto"/>
              <w:ind w:right="-41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Folha</w:t>
            </w:r>
          </w:p>
        </w:tc>
      </w:tr>
      <w:tr w:rsidR="000D60E6" w14:paraId="7F171816" w14:textId="77777777" w:rsidTr="006B4E1C">
        <w:trPr>
          <w:trHeight w:val="357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2E600" w14:textId="77777777" w:rsidR="000D60E6" w:rsidRDefault="004507D6">
            <w:pPr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311" w:right="85" w:hanging="313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O processo foi autuado, no sistema de Gestão de Documentos – SGD, no formato digital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devidamente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inserido no SIGA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? (art. 9º do Decreto Estadual nº 5.490/2016 c/c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arts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50 e 51 do Decreto Orçamentário nº 6.898/2025</w:t>
            </w:r>
            <w:r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 w:bidi="ar-SA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 art. 4° do Decreto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Estadual n°6.084/2020)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E903B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FCF13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C2C0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E1C" w14:paraId="1740A72F" w14:textId="77777777" w:rsidTr="006B4E1C">
        <w:trPr>
          <w:trHeight w:val="357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954FE" w14:textId="18549D1F" w:rsidR="006B4E1C" w:rsidRDefault="006B4E1C">
            <w:pPr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311" w:right="85" w:hanging="313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6B4E1C">
              <w:rPr>
                <w:rFonts w:ascii="Times New Roman" w:hAnsi="Times New Roman" w:cs="Times New Roman"/>
                <w:sz w:val="18"/>
                <w:szCs w:val="18"/>
              </w:rPr>
              <w:t xml:space="preserve">Consta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6B4E1C">
              <w:rPr>
                <w:rFonts w:ascii="Times New Roman" w:hAnsi="Times New Roman" w:cs="Times New Roman"/>
                <w:sz w:val="18"/>
                <w:szCs w:val="18"/>
              </w:rPr>
              <w:t>ustificativa da despesa fundamentada no art. 37 da Lei Federal nº 4.320/64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</w:t>
            </w:r>
            <w:r w:rsidRPr="006B4E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B4E1C">
              <w:rPr>
                <w:rFonts w:ascii="Times New Roman" w:hAnsi="Times New Roman" w:cs="Times New Roman"/>
                <w:sz w:val="18"/>
                <w:szCs w:val="18"/>
              </w:rPr>
              <w:t>assinada pelo responsável do setor e superior hierárquico, com aprovação do ordenador de despesa?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E3DB6" w14:textId="77777777" w:rsidR="006B4E1C" w:rsidRDefault="006B4E1C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233C0" w14:textId="77777777" w:rsidR="006B4E1C" w:rsidRDefault="006B4E1C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3547" w14:textId="77777777" w:rsidR="006B4E1C" w:rsidRDefault="006B4E1C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0E6" w14:paraId="16C6F014" w14:textId="77777777" w:rsidTr="006B4E1C">
        <w:trPr>
          <w:trHeight w:val="357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40A1D" w14:textId="195854BA" w:rsidR="000D60E6" w:rsidRDefault="004507D6">
            <w:pPr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311" w:right="85" w:hanging="313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Consta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empenho prévio</w:t>
            </w:r>
            <w:r>
              <w:rPr>
                <w:rStyle w:val="Refdenotaderodap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footnoteReference w:id="1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à realização da despesa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conformidade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B4E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art. 21 do Decreto Orçamentário nº 6.898/2025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? (NOT CGE nº 1/2019)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4D9C6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32F3C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F461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0E6" w14:paraId="2DC5F63F" w14:textId="77777777" w:rsidTr="006B4E1C">
        <w:trPr>
          <w:trHeight w:val="357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4E3A3" w14:textId="77777777" w:rsidR="000D60E6" w:rsidRDefault="004507D6">
            <w:pPr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311" w:right="85" w:hanging="313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Existe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saldo do empenho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inscrito em Restos a Pagar (Processado ou Não Processado) no SIAFE-TO?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DE325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FD0BF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DBBF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0E6" w14:paraId="1D497128" w14:textId="77777777" w:rsidTr="006B4E1C">
        <w:trPr>
          <w:trHeight w:val="357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489C8" w14:textId="77777777" w:rsidR="000D60E6" w:rsidRDefault="004507D6">
            <w:pPr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311" w:right="85" w:hanging="313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Observou a vigência do contrato de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serviços contínuos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se despesa consta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dentro do prazo de vigência contratual?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68EA7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B8411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737E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0E6" w14:paraId="34F84727" w14:textId="77777777" w:rsidTr="006B4E1C">
        <w:trPr>
          <w:trHeight w:val="950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6D0D8" w14:textId="77777777" w:rsidR="000D60E6" w:rsidRDefault="004507D6">
            <w:pPr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311" w:right="85" w:hanging="313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Observou as cláusulas contratuais, no caso de despesas com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manutenção preventiva e corretiva de bens, se despesa a ser reconhecida está nas condições contratadas</w:t>
            </w:r>
            <w:r>
              <w:rPr>
                <w:rStyle w:val="Refdenotaderodap"/>
                <w:rFonts w:ascii="Times New Roman" w:hAnsi="Times New Roman" w:cs="Times New Roman"/>
                <w:color w:val="000000"/>
                <w:sz w:val="18"/>
                <w:szCs w:val="18"/>
              </w:rPr>
              <w:footnoteReference w:id="2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? (art. 117, § 1º e 2º, da Lei Federal nº 14.133/21 c/c art. 63, § 1º,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inc.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I, II, III e § 2º, inc. III da Lei Federal nº 4.320/64)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6A29F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9716C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16E5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0E6" w14:paraId="6CA207CD" w14:textId="77777777" w:rsidTr="006B4E1C">
        <w:trPr>
          <w:trHeight w:val="357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98B07" w14:textId="77777777" w:rsidR="000D60E6" w:rsidRDefault="004507D6">
            <w:pPr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311" w:right="85" w:hanging="313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Consta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ciência e análise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 despesa pelo Grupo Gestor para Equilíbrio do Gasto Público, após prévia manifestação da Secretaria de Planejamento e Orçamento? (art. 24, inc. III e IV e §1º do Decreto Orçamentário nº 6.898/25)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74E4D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3DA1B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1AA6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0E6" w14:paraId="479F8DD6" w14:textId="77777777" w:rsidTr="006B4E1C">
        <w:trPr>
          <w:trHeight w:val="357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237D7" w14:textId="77777777" w:rsidR="000D60E6" w:rsidRDefault="004507D6">
            <w:pPr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311" w:right="85" w:hanging="313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Existe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reserva orçamentária DD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(Detalhamento de Dotação) 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(nota de empenho) no programa que originou a despesa e no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elemento de reconhecimento de dívida (33.90.92/44.90.92). No caso de Programa extinto elaborar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Nota de Esclarecimento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informando qual Programa atual absorveu o anterior.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4EA08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2EDDB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9FD4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0E6" w14:paraId="6056296C" w14:textId="77777777" w:rsidTr="006B4E1C">
        <w:trPr>
          <w:trHeight w:val="357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2BE83" w14:textId="77777777" w:rsidR="000D60E6" w:rsidRDefault="004507D6">
            <w:pPr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311" w:right="85" w:hanging="313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Notas fiscais no valor do reconhecimento da dívida, com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atesto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servidor competente, com especificação da data de entrega ou prestação do serviço e os dados do servidor responsável pelo recebimento (nome, assinatura ou rubrica, a função ou cargo que ocupa)?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3943C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AAA52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F48A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7D6" w14:paraId="24FC137A" w14:textId="77777777" w:rsidTr="00C25DEE">
        <w:trPr>
          <w:trHeight w:val="357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E6F9F" w14:textId="77777777" w:rsidR="004507D6" w:rsidRDefault="004507D6" w:rsidP="00C25DEE">
            <w:pPr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311" w:right="85" w:hanging="313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Consta no processo o Termo de Recebimento (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provisório ou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definitivo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em caso de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Obras ou Serviços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(art.140, I, “a” e “b” Lei nº 14.133/21), onde os faturamentos deverão contemplar as medições constantes no cronograma físico-financeiro de obras em andamento e concluídas?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D0267" w14:textId="77777777" w:rsidR="004507D6" w:rsidRDefault="004507D6" w:rsidP="00C25DEE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1E284" w14:textId="77777777" w:rsidR="004507D6" w:rsidRDefault="004507D6" w:rsidP="00C25DEE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A529" w14:textId="77777777" w:rsidR="004507D6" w:rsidRDefault="004507D6" w:rsidP="00C25DEE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0E6" w14:paraId="5416A3B4" w14:textId="77777777" w:rsidTr="006B4E1C">
        <w:trPr>
          <w:trHeight w:val="357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00586" w14:textId="77777777" w:rsidR="000D60E6" w:rsidRDefault="004507D6">
            <w:pPr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311" w:right="85" w:hanging="313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Consta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Termo de Reconhecimento da Despesa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devidamente assinado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pela autoridade competente</w:t>
            </w:r>
            <w:r>
              <w:rPr>
                <w:rStyle w:val="Refdenotaderodap"/>
                <w:rFonts w:ascii="Times New Roman" w:hAnsi="Times New Roman" w:cs="Times New Roman"/>
                <w:color w:val="000000"/>
                <w:sz w:val="18"/>
                <w:szCs w:val="18"/>
              </w:rPr>
              <w:footnoteReference w:id="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0D819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EF893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C96F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0E6" w14:paraId="358F0AF1" w14:textId="77777777" w:rsidTr="006B4E1C">
        <w:trPr>
          <w:trHeight w:val="357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C8D7D" w14:textId="77777777" w:rsidR="000D60E6" w:rsidRDefault="004507D6">
            <w:pPr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311" w:right="85" w:hanging="313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Constam certidões de regularidade fiscal da empresa credora, conforme art. 68, da LLCA?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CCB54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123F7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9B63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0E6" w14:paraId="4497788F" w14:textId="77777777" w:rsidTr="006B4E1C">
        <w:trPr>
          <w:trHeight w:val="357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3A18E" w14:textId="77777777" w:rsidR="000D60E6" w:rsidRDefault="004507D6">
            <w:pPr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311" w:right="85" w:hanging="313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apresentação das certidões de regularidades, verificar a autenticidade fazendo busca nos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respectivos sites.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9B4E7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DE678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80A8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0E6" w14:paraId="1F65A638" w14:textId="77777777" w:rsidTr="006B4E1C">
        <w:trPr>
          <w:trHeight w:val="357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6D518" w14:textId="77777777" w:rsidR="000D60E6" w:rsidRDefault="004507D6">
            <w:pPr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311" w:right="85" w:hanging="313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Consta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autorização de pagamento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devidamente preenchida e assinada pela autoridade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competente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? (art. 25 inc. I c/c art. 69, inc. III do Decreto Orçamentário nº 6.898/25)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9E1F2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DCDDD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8607" w14:textId="77777777" w:rsidR="000D60E6" w:rsidRDefault="000D60E6">
            <w:pPr>
              <w:spacing w:line="360" w:lineRule="auto"/>
              <w:ind w:right="-710" w:hanging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82CA93" w14:textId="77777777" w:rsidR="000D60E6" w:rsidRDefault="004507D6">
      <w:pPr>
        <w:spacing w:line="360" w:lineRule="auto"/>
        <w:ind w:right="-1" w:hanging="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Apontamentos:</w:t>
      </w:r>
    </w:p>
    <w:tbl>
      <w:tblPr>
        <w:tblW w:w="90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081"/>
      </w:tblGrid>
      <w:tr w:rsidR="000D60E6" w14:paraId="7C8F69F0" w14:textId="77777777"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5B24" w14:textId="77777777" w:rsidR="000D60E6" w:rsidRDefault="000D60E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0E6" w14:paraId="4315CC70" w14:textId="77777777"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11C1" w14:textId="77777777" w:rsidR="000D60E6" w:rsidRDefault="000D60E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0E6" w14:paraId="5519D6A6" w14:textId="77777777">
        <w:tc>
          <w:tcPr>
            <w:tcW w:w="9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CEC9" w14:textId="77777777" w:rsidR="000D60E6" w:rsidRDefault="000D60E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0E6" w14:paraId="238F683D" w14:textId="77777777">
        <w:tc>
          <w:tcPr>
            <w:tcW w:w="9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9224" w14:textId="77777777" w:rsidR="000D60E6" w:rsidRDefault="000D60E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0E6" w14:paraId="177832AF" w14:textId="77777777">
        <w:tc>
          <w:tcPr>
            <w:tcW w:w="9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BAFC" w14:textId="77777777" w:rsidR="000D60E6" w:rsidRDefault="000D60E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0E6" w14:paraId="3C250BCB" w14:textId="77777777">
        <w:tc>
          <w:tcPr>
            <w:tcW w:w="9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34F1" w14:textId="77777777" w:rsidR="000D60E6" w:rsidRDefault="000D60E6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4424987" w14:textId="77777777" w:rsidR="000D60E6" w:rsidRDefault="000D60E6">
      <w:pPr>
        <w:spacing w:line="360" w:lineRule="auto"/>
        <w:ind w:hanging="2"/>
        <w:rPr>
          <w:rFonts w:ascii="Times New Roman" w:hAnsi="Times New Roman" w:cs="Times New Roman"/>
          <w:sz w:val="18"/>
          <w:szCs w:val="18"/>
        </w:rPr>
      </w:pPr>
    </w:p>
    <w:p w14:paraId="2E0BB7A1" w14:textId="77777777" w:rsidR="000D60E6" w:rsidRDefault="000D60E6">
      <w:pPr>
        <w:pStyle w:val="Cabealho"/>
        <w:tabs>
          <w:tab w:val="left" w:pos="708"/>
        </w:tabs>
        <w:jc w:val="center"/>
        <w:rPr>
          <w:b/>
          <w:sz w:val="18"/>
          <w:szCs w:val="18"/>
        </w:rPr>
      </w:pPr>
    </w:p>
    <w:p w14:paraId="1290716F" w14:textId="77777777" w:rsidR="000D60E6" w:rsidRDefault="004507D6">
      <w:pPr>
        <w:pStyle w:val="Cabealho"/>
        <w:tabs>
          <w:tab w:val="left" w:pos="708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Assinatura e Matrícula do Servidor</w:t>
      </w:r>
    </w:p>
    <w:p w14:paraId="4A5C6FE9" w14:textId="77777777" w:rsidR="000D60E6" w:rsidRDefault="000D60E6">
      <w:pPr>
        <w:pStyle w:val="Standard"/>
        <w:tabs>
          <w:tab w:val="left" w:pos="1418"/>
          <w:tab w:val="left" w:pos="1701"/>
        </w:tabs>
        <w:jc w:val="center"/>
        <w:rPr>
          <w:rFonts w:eastAsia="Arial"/>
          <w:iCs/>
          <w:sz w:val="24"/>
          <w:szCs w:val="24"/>
          <w:lang w:val="pt-BR"/>
        </w:rPr>
      </w:pPr>
    </w:p>
    <w:p w14:paraId="573E2D83" w14:textId="77777777" w:rsidR="000D60E6" w:rsidRDefault="000D60E6">
      <w:pPr>
        <w:pStyle w:val="Standard"/>
        <w:tabs>
          <w:tab w:val="left" w:pos="1418"/>
          <w:tab w:val="left" w:pos="1701"/>
        </w:tabs>
        <w:jc w:val="center"/>
        <w:rPr>
          <w:sz w:val="24"/>
          <w:szCs w:val="24"/>
        </w:rPr>
      </w:pPr>
    </w:p>
    <w:sectPr w:rsidR="000D60E6">
      <w:headerReference w:type="default" r:id="rId8"/>
      <w:pgSz w:w="11906" w:h="16838"/>
      <w:pgMar w:top="1440" w:right="991" w:bottom="1440" w:left="1800" w:header="714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8CC3C" w14:textId="77777777" w:rsidR="004507D6" w:rsidRDefault="004507D6">
      <w:r>
        <w:separator/>
      </w:r>
    </w:p>
  </w:endnote>
  <w:endnote w:type="continuationSeparator" w:id="0">
    <w:p w14:paraId="40C95B3E" w14:textId="77777777" w:rsidR="004507D6" w:rsidRDefault="0045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D2517" w14:textId="77777777" w:rsidR="000D60E6" w:rsidRDefault="004507D6">
      <w:pPr>
        <w:rPr>
          <w:sz w:val="12"/>
        </w:rPr>
      </w:pPr>
      <w:r>
        <w:separator/>
      </w:r>
    </w:p>
  </w:footnote>
  <w:footnote w:type="continuationSeparator" w:id="0">
    <w:p w14:paraId="3FAFB56B" w14:textId="77777777" w:rsidR="000D60E6" w:rsidRDefault="004507D6">
      <w:pPr>
        <w:rPr>
          <w:sz w:val="12"/>
        </w:rPr>
      </w:pPr>
      <w:r>
        <w:continuationSeparator/>
      </w:r>
    </w:p>
  </w:footnote>
  <w:footnote w:id="1">
    <w:p w14:paraId="6A3AC228" w14:textId="77777777" w:rsidR="000D60E6" w:rsidRPr="004507D6" w:rsidRDefault="004507D6" w:rsidP="004507D6">
      <w:pPr>
        <w:pStyle w:val="Textodenotaderodap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4507D6">
        <w:rPr>
          <w:rStyle w:val="Caracteresdenotaderodap"/>
          <w:rFonts w:ascii="Times New Roman" w:hAnsi="Times New Roman" w:cs="Times New Roman"/>
          <w:sz w:val="16"/>
          <w:szCs w:val="16"/>
        </w:rPr>
        <w:footnoteRef/>
      </w:r>
      <w:r w:rsidRPr="004507D6">
        <w:rPr>
          <w:rFonts w:ascii="Times New Roman" w:hAnsi="Times New Roman" w:cs="Times New Roman"/>
          <w:sz w:val="16"/>
          <w:szCs w:val="16"/>
        </w:rPr>
        <w:t xml:space="preserve"> </w:t>
      </w:r>
      <w:r w:rsidRPr="004507D6">
        <w:rPr>
          <w:rFonts w:ascii="Times New Roman" w:hAnsi="Times New Roman" w:cs="Times New Roman"/>
          <w:sz w:val="16"/>
          <w:szCs w:val="16"/>
        </w:rPr>
        <w:t xml:space="preserve">Como o empenho propriamente dito é formado por ações que envolvem desde a reserva orçamentária preliminar, ato do gestor (assinatura na autorização de despesa) e por fim, o registro Sistema Administrativo Financeiro (SIAFE-TO) da apropriação dos recursos para o fim desejado) proposto, é que se entende que a mera ausência da nota de empenho não significa, de plano, a ausência de empenho. </w:t>
      </w:r>
      <w:hyperlink r:id="rId1">
        <w:r w:rsidRPr="004507D6">
          <w:rPr>
            <w:rStyle w:val="Hyperlink"/>
            <w:rFonts w:ascii="Times New Roman" w:hAnsi="Times New Roman" w:cs="Times New Roman"/>
            <w:sz w:val="16"/>
            <w:szCs w:val="16"/>
          </w:rPr>
          <w:t>https://central.to.gov.br/download/23052</w:t>
        </w:r>
      </w:hyperlink>
      <w:r w:rsidRPr="004507D6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2">
    <w:p w14:paraId="6B3767F3" w14:textId="77777777" w:rsidR="000D60E6" w:rsidRPr="004507D6" w:rsidRDefault="004507D6" w:rsidP="004507D6">
      <w:pPr>
        <w:pStyle w:val="Textodenotaderodap"/>
        <w:ind w:left="142" w:hanging="142"/>
        <w:rPr>
          <w:rFonts w:ascii="Times New Roman" w:hAnsi="Times New Roman" w:cs="Times New Roman"/>
          <w:sz w:val="16"/>
          <w:szCs w:val="16"/>
        </w:rPr>
      </w:pPr>
      <w:r w:rsidRPr="004507D6">
        <w:rPr>
          <w:rStyle w:val="Caracteresdenotaderodap"/>
          <w:rFonts w:ascii="Times New Roman" w:hAnsi="Times New Roman" w:cs="Times New Roman"/>
          <w:sz w:val="16"/>
          <w:szCs w:val="16"/>
        </w:rPr>
        <w:footnoteRef/>
      </w:r>
      <w:r w:rsidRPr="004507D6">
        <w:rPr>
          <w:rFonts w:ascii="Times New Roman" w:hAnsi="Times New Roman" w:cs="Times New Roman"/>
          <w:sz w:val="16"/>
          <w:szCs w:val="16"/>
        </w:rPr>
        <w:t xml:space="preserve"> </w:t>
      </w:r>
      <w:r w:rsidRPr="004507D6">
        <w:rPr>
          <w:rFonts w:ascii="Times New Roman" w:hAnsi="Times New Roman" w:cs="Times New Roman"/>
          <w:sz w:val="16"/>
          <w:szCs w:val="16"/>
        </w:rPr>
        <w:t>Exemplo: nota fiscal de peças (acompanhada do orçamento prévio devidamente autorizado), nota fiscal de serviço (acompanhado do relatório de serviço emitido pelo contratante e fiscal de contrato) e outros.</w:t>
      </w:r>
    </w:p>
  </w:footnote>
  <w:footnote w:id="3">
    <w:p w14:paraId="3B2C7D20" w14:textId="77777777" w:rsidR="000D60E6" w:rsidRPr="004507D6" w:rsidRDefault="004507D6" w:rsidP="004507D6">
      <w:pPr>
        <w:pStyle w:val="Textodenotaderodap"/>
        <w:ind w:left="142" w:hanging="142"/>
        <w:rPr>
          <w:rFonts w:ascii="Times New Roman" w:hAnsi="Times New Roman" w:cs="Times New Roman"/>
          <w:sz w:val="16"/>
          <w:szCs w:val="16"/>
        </w:rPr>
      </w:pPr>
      <w:r w:rsidRPr="004507D6">
        <w:rPr>
          <w:rStyle w:val="Caracteresdenotaderodap"/>
          <w:rFonts w:ascii="Times New Roman" w:hAnsi="Times New Roman" w:cs="Times New Roman"/>
          <w:sz w:val="16"/>
          <w:szCs w:val="16"/>
        </w:rPr>
        <w:footnoteRef/>
      </w:r>
      <w:r w:rsidRPr="004507D6">
        <w:rPr>
          <w:rFonts w:ascii="Times New Roman" w:hAnsi="Times New Roman" w:cs="Times New Roman"/>
          <w:sz w:val="16"/>
          <w:szCs w:val="16"/>
        </w:rPr>
        <w:t xml:space="preserve"> </w:t>
      </w:r>
      <w:r w:rsidRPr="004507D6">
        <w:rPr>
          <w:rFonts w:ascii="Times New Roman" w:hAnsi="Times New Roman" w:cs="Times New Roman"/>
          <w:sz w:val="16"/>
          <w:szCs w:val="16"/>
        </w:rPr>
        <w:t>O reconhecimento da despesa é a obrigação de pagar por serviços prestados ou bens recebidos, normalmente dentro do exercício financeiro. É reconhecida quando a obrigação é assumida.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93C0B" w14:textId="77777777" w:rsidR="000D60E6" w:rsidRDefault="004507D6">
    <w:pPr>
      <w:pStyle w:val="Textbody"/>
      <w:rPr>
        <w:sz w:val="20"/>
      </w:rPr>
    </w:pPr>
    <w:r>
      <w:rPr>
        <w:noProof/>
      </w:rPr>
      <w:drawing>
        <wp:inline distT="0" distB="0" distL="0" distR="0" wp14:anchorId="47B76C0C" wp14:editId="62B8E51F">
          <wp:extent cx="5751195" cy="1220470"/>
          <wp:effectExtent l="0" t="0" r="0" b="0"/>
          <wp:docPr id="1" name="Imagem 1" descr="TIMBRADO_CGE1.pdf__1_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_CGE1.pdf__1_-removebg-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1195" cy="1220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736C1"/>
    <w:multiLevelType w:val="multilevel"/>
    <w:tmpl w:val="8D8EFBDC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/>
        <w:strike w:val="0"/>
        <w:dstrike w:val="0"/>
        <w:color w:val="000000"/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53A82051"/>
    <w:multiLevelType w:val="multilevel"/>
    <w:tmpl w:val="E3061E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78745186">
    <w:abstractNumId w:val="0"/>
  </w:num>
  <w:num w:numId="2" w16cid:durableId="1513570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1"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E6"/>
    <w:rsid w:val="000D60E6"/>
    <w:rsid w:val="003B33AB"/>
    <w:rsid w:val="004507D6"/>
    <w:rsid w:val="006B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E06A"/>
  <w15:docId w15:val="{2AAC238E-D77E-495A-89DF-593542CD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  <w:rPr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HiperlinkVisitado">
    <w:name w:val="FollowedHyperlink"/>
    <w:basedOn w:val="Fontepargpadro"/>
    <w:semiHidden/>
    <w:unhideWhenUsed/>
    <w:qFormat/>
    <w:rPr>
      <w:color w:val="954F72" w:themeColor="followedHyperlink"/>
      <w:u w:val="single"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basedOn w:val="Fontepargpadro"/>
    <w:unhideWhenUsed/>
    <w:qFormat/>
    <w:rPr>
      <w:color w:val="0563C1" w:themeColor="hyperlink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abealhoChar">
    <w:name w:val="Cabeçalho Char"/>
    <w:basedOn w:val="Fontepargpadro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qFormat/>
    <w:rPr>
      <w:rFonts w:ascii="Times New Roman" w:eastAsia="Times New Roman" w:hAnsi="Times New Roman" w:cs="Times New Roman"/>
      <w:lang w:val="pt-PT"/>
    </w:rPr>
  </w:style>
  <w:style w:type="character" w:customStyle="1" w:styleId="CabealhoChar1">
    <w:name w:val="Cabeçalho Char1"/>
    <w:basedOn w:val="Fontepargpadro"/>
    <w:qFormat/>
    <w:rPr>
      <w:rFonts w:ascii="Times New Roman" w:eastAsia="Times New Roman" w:hAnsi="Times New Roman" w:cs="Times New Roman"/>
      <w:lang w:val="pt-PT"/>
    </w:rPr>
  </w:style>
  <w:style w:type="character" w:customStyle="1" w:styleId="RodapChar1">
    <w:name w:val="Rodapé Char1"/>
    <w:basedOn w:val="Fontepargpadro"/>
    <w:qFormat/>
    <w:rPr>
      <w:rFonts w:ascii="Times New Roman" w:eastAsia="Times New Roman" w:hAnsi="Times New Roman" w:cs="Times New Roman"/>
      <w:lang w:val="pt-PT"/>
    </w:rPr>
  </w:style>
  <w:style w:type="character" w:customStyle="1" w:styleId="Hyperlink1">
    <w:name w:val="Hyperlink1"/>
    <w:qFormat/>
    <w:rPr>
      <w:color w:val="0000FF"/>
      <w:u w:val="single"/>
    </w:rPr>
  </w:style>
  <w:style w:type="character" w:customStyle="1" w:styleId="CorpodetextoChar">
    <w:name w:val="Corpo de texto Char"/>
    <w:basedOn w:val="Fontepargpadro"/>
    <w:semiHidden/>
    <w:qFormat/>
    <w:rPr>
      <w:rFonts w:ascii="Times New Roman" w:eastAsia="Times New Roman" w:hAnsi="Times New Roman" w:cs="Times New Roman"/>
      <w:sz w:val="24"/>
      <w:szCs w:val="24"/>
      <w:lang w:val="pt-PT" w:eastAsia="en-US" w:bidi="ar-SA"/>
    </w:rPr>
  </w:style>
  <w:style w:type="character" w:customStyle="1" w:styleId="MenoPendente1">
    <w:name w:val="Menção Pendente1"/>
    <w:basedOn w:val="Fontepargpadro"/>
    <w:semiHidden/>
    <w:unhideWhenUsed/>
    <w:qFormat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C16F7F"/>
    <w:rPr>
      <w:rFonts w:cs="Mangal"/>
      <w:szCs w:val="18"/>
      <w:lang w:eastAsia="zh-CN" w:bidi="hi-IN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C16F7F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C16F7F"/>
    <w:rPr>
      <w:color w:val="605E5C"/>
      <w:shd w:val="clear" w:color="auto" w:fill="E1DFDD"/>
    </w:rPr>
  </w:style>
  <w:style w:type="character" w:customStyle="1" w:styleId="Caracteresdenotaderodap">
    <w:name w:val="Caracteres de nota de rodapé"/>
    <w:qFormat/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customStyle="1" w:styleId="Ttulo1">
    <w:name w:val="Título1"/>
    <w:basedOn w:val="Standard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semiHidden/>
    <w:unhideWhenUsed/>
    <w:qFormat/>
    <w:pPr>
      <w:suppressAutoHyphens w:val="0"/>
    </w:pPr>
    <w:rPr>
      <w:rFonts w:ascii="Times New Roman" w:eastAsia="Times New Roman" w:hAnsi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Mangal"/>
    </w:rPr>
  </w:style>
  <w:style w:type="paragraph" w:customStyle="1" w:styleId="Textbody">
    <w:name w:val="Text body"/>
    <w:basedOn w:val="Standard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Times New Roman"/>
      <w:color w:val="000000"/>
      <w:sz w:val="22"/>
      <w:szCs w:val="22"/>
      <w:lang w:val="pt-PT" w:eastAsia="en-US"/>
    </w:rPr>
  </w:style>
  <w:style w:type="paragraph" w:styleId="Ttulo">
    <w:name w:val="Title"/>
    <w:basedOn w:val="Standar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Standard"/>
    <w:qFormat/>
  </w:style>
  <w:style w:type="paragraph" w:styleId="Cabealho">
    <w:name w:val="header"/>
    <w:basedOn w:val="Standard"/>
    <w:qFormat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qFormat/>
    <w:pPr>
      <w:tabs>
        <w:tab w:val="center" w:pos="4252"/>
        <w:tab w:val="right" w:pos="8504"/>
      </w:tabs>
    </w:pPr>
  </w:style>
  <w:style w:type="paragraph" w:customStyle="1" w:styleId="Ttulo10">
    <w:name w:val="Título1"/>
    <w:basedOn w:val="Standar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 11"/>
    <w:basedOn w:val="Standard"/>
    <w:qFormat/>
    <w:pPr>
      <w:ind w:left="102"/>
      <w:outlineLvl w:val="0"/>
    </w:pPr>
    <w:rPr>
      <w:b/>
      <w:bCs/>
      <w:sz w:val="24"/>
      <w:szCs w:val="24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grafodaLista">
    <w:name w:val="List Paragraph"/>
    <w:basedOn w:val="Standard"/>
    <w:qFormat/>
  </w:style>
  <w:style w:type="paragraph" w:customStyle="1" w:styleId="TableParagraph">
    <w:name w:val="Table Paragraph"/>
    <w:basedOn w:val="Standard"/>
    <w:qFormat/>
  </w:style>
  <w:style w:type="paragraph" w:customStyle="1" w:styleId="Contedodoquadro">
    <w:name w:val="Conteúdo do quadro"/>
    <w:basedOn w:val="Standard"/>
    <w:qFormat/>
  </w:style>
  <w:style w:type="paragraph" w:customStyle="1" w:styleId="Cabealho1">
    <w:name w:val="Cabeçalho1"/>
    <w:basedOn w:val="Standard"/>
    <w:qFormat/>
    <w:pPr>
      <w:widowControl/>
      <w:tabs>
        <w:tab w:val="center" w:pos="4252"/>
        <w:tab w:val="right" w:pos="8504"/>
      </w:tabs>
    </w:pPr>
    <w:rPr>
      <w:rFonts w:ascii="Calibri" w:eastAsia="Calibri" w:hAnsi="Calibri" w:cs="Calibri"/>
      <w:lang w:val="pt-BR"/>
    </w:r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6F7F"/>
    <w:rPr>
      <w:rFonts w:cs="Mangal"/>
      <w:szCs w:val="18"/>
    </w:rPr>
  </w:style>
  <w:style w:type="table" w:styleId="Tabelacomgrade">
    <w:name w:val="Table Gri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entral.to.gov.br/download/2305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47D0B-2A30-4E91-8CE9-37E7806E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Henryque Cerqueira Vasconcelos</dc:creator>
  <dc:description/>
  <cp:lastModifiedBy>Elaine Zanetti</cp:lastModifiedBy>
  <cp:revision>10</cp:revision>
  <dcterms:created xsi:type="dcterms:W3CDTF">2025-03-06T16:36:00Z</dcterms:created>
  <dcterms:modified xsi:type="dcterms:W3CDTF">2025-05-06T15:39:00Z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2021-06-24T03:00:00Z</vt:filetime>
  </property>
  <property fmtid="{D5CDD505-2E9C-101B-9397-08002B2CF9AE}" pid="3" name="ICV">
    <vt:lpwstr>4ADA3906709F426C9FBDE08E76F6E12D_13</vt:lpwstr>
  </property>
  <property fmtid="{D5CDD505-2E9C-101B-9397-08002B2CF9AE}" pid="4" name="KSOProductBuildVer">
    <vt:lpwstr>1046-12.2.0.13431</vt:lpwstr>
  </property>
  <property fmtid="{D5CDD505-2E9C-101B-9397-08002B2CF9AE}" pid="5" name="LastSaved">
    <vt:filetime>2021-10-26T03:00:00Z</vt:filetime>
  </property>
</Properties>
</file>